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32B" w:rsidRDefault="00DF532B" w:rsidP="00DF532B">
      <w:pPr>
        <w:autoSpaceDE w:val="0"/>
        <w:autoSpaceDN w:val="0"/>
        <w:adjustRightInd w:val="0"/>
        <w:spacing w:before="240" w:after="120"/>
        <w:ind w:left="357"/>
        <w:jc w:val="both"/>
        <w:rPr>
          <w:rFonts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4"/>
        </w:rPr>
        <w:t xml:space="preserve">        </w:t>
      </w:r>
      <w:r w:rsidRPr="000F5561">
        <w:rPr>
          <w:rFonts w:cs="Arial"/>
          <w:b/>
          <w:bCs/>
          <w:sz w:val="22"/>
          <w:szCs w:val="22"/>
        </w:rPr>
        <w:t xml:space="preserve">   </w:t>
      </w:r>
      <w:r>
        <w:rPr>
          <w:rFonts w:cs="Arial"/>
          <w:b/>
          <w:bCs/>
          <w:sz w:val="22"/>
          <w:szCs w:val="22"/>
          <w:u w:val="single"/>
        </w:rPr>
        <w:t>Desenvolvimento de BI</w:t>
      </w:r>
    </w:p>
    <w:p w:rsidR="00DF532B" w:rsidRDefault="00DF532B" w:rsidP="00DF532B">
      <w:pPr>
        <w:jc w:val="center"/>
        <w:rPr>
          <w:rFonts w:ascii="Arial" w:hAnsi="Arial" w:cs="Arial"/>
          <w:b/>
          <w:sz w:val="24"/>
          <w:szCs w:val="24"/>
        </w:rPr>
      </w:pPr>
    </w:p>
    <w:p w:rsidR="00DF532B" w:rsidRDefault="00DF532B" w:rsidP="00DF532B">
      <w:pPr>
        <w:ind w:left="142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1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2"/>
        <w:gridCol w:w="4110"/>
      </w:tblGrid>
      <w:tr w:rsidR="00DF532B" w:rsidTr="003A3704">
        <w:tc>
          <w:tcPr>
            <w:tcW w:w="2812" w:type="dxa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32B" w:rsidRDefault="00DF532B" w:rsidP="003A370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110" w:type="dxa"/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32B" w:rsidRDefault="00DF532B" w:rsidP="003A370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Tecnologia</w:t>
            </w:r>
          </w:p>
        </w:tc>
      </w:tr>
      <w:tr w:rsidR="00DF532B" w:rsidTr="003A3704">
        <w:tc>
          <w:tcPr>
            <w:tcW w:w="2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32B" w:rsidRDefault="00DF532B" w:rsidP="003A3704">
            <w:r>
              <w:rPr>
                <w:color w:val="000000"/>
              </w:rPr>
              <w:t>Sistema Operacional para Servidores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32B" w:rsidRDefault="00DF532B" w:rsidP="003A3704">
            <w:r w:rsidRPr="006E775E">
              <w:t xml:space="preserve">Windows </w:t>
            </w:r>
            <w:r>
              <w:t xml:space="preserve">2016 </w:t>
            </w:r>
            <w:r w:rsidRPr="006E775E">
              <w:t>Server</w:t>
            </w:r>
            <w:r>
              <w:t xml:space="preserve"> ou superior </w:t>
            </w:r>
          </w:p>
          <w:p w:rsidR="00DF532B" w:rsidRPr="006E775E" w:rsidRDefault="00DF532B" w:rsidP="003A3704">
            <w:r w:rsidRPr="006E775E">
              <w:t>Debian</w:t>
            </w:r>
            <w:r>
              <w:t xml:space="preserve"> versão 9 ou superior</w:t>
            </w:r>
          </w:p>
        </w:tc>
      </w:tr>
      <w:tr w:rsidR="00DF532B" w:rsidTr="003A3704">
        <w:tc>
          <w:tcPr>
            <w:tcW w:w="2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32B" w:rsidRDefault="00DF532B" w:rsidP="003A3704">
            <w:r>
              <w:rPr>
                <w:color w:val="000000"/>
              </w:rPr>
              <w:t>Servidor Web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32B" w:rsidRPr="006E775E" w:rsidRDefault="00DF532B" w:rsidP="003A3704">
            <w:r w:rsidRPr="006E775E">
              <w:t>Microsoft IIS</w:t>
            </w:r>
            <w:r>
              <w:t xml:space="preserve"> versão 6.0 ou superior</w:t>
            </w:r>
          </w:p>
        </w:tc>
      </w:tr>
      <w:tr w:rsidR="00DF532B" w:rsidTr="003A3704">
        <w:tc>
          <w:tcPr>
            <w:tcW w:w="2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32B" w:rsidRDefault="00DF532B" w:rsidP="003A3704">
            <w:pPr>
              <w:rPr>
                <w:color w:val="000000"/>
              </w:rPr>
            </w:pPr>
            <w:r>
              <w:rPr>
                <w:color w:val="000000"/>
              </w:rPr>
              <w:t>Sistemas Gerenciadores de Banco de Dados</w:t>
            </w:r>
          </w:p>
          <w:p w:rsidR="00DF532B" w:rsidRDefault="00DF532B" w:rsidP="003A3704">
            <w:pPr>
              <w:rPr>
                <w:color w:val="000000"/>
              </w:rPr>
            </w:pP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32B" w:rsidRPr="006E775E" w:rsidRDefault="00DF532B" w:rsidP="003A3704">
            <w:r w:rsidRPr="006E775E">
              <w:t xml:space="preserve">Microsoft SQL Server </w:t>
            </w:r>
            <w:r>
              <w:t>versão 20</w:t>
            </w:r>
            <w:r w:rsidR="00AF04DB">
              <w:t>16</w:t>
            </w:r>
            <w:bookmarkStart w:id="0" w:name="_GoBack"/>
            <w:bookmarkEnd w:id="0"/>
            <w:r>
              <w:t xml:space="preserve"> ou superior</w:t>
            </w:r>
          </w:p>
          <w:p w:rsidR="00DF532B" w:rsidRPr="004E7C7D" w:rsidRDefault="00DF532B" w:rsidP="003A3704">
            <w:pPr>
              <w:rPr>
                <w:color w:val="000000"/>
              </w:rPr>
            </w:pPr>
            <w:r w:rsidRPr="006E775E">
              <w:t>Oracle</w:t>
            </w:r>
            <w:r>
              <w:t xml:space="preserve"> versão 12c ou superior</w:t>
            </w:r>
          </w:p>
        </w:tc>
      </w:tr>
      <w:tr w:rsidR="00DF532B" w:rsidTr="003A3704">
        <w:tc>
          <w:tcPr>
            <w:tcW w:w="28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32B" w:rsidRDefault="00DF532B" w:rsidP="003A3704">
            <w:pPr>
              <w:rPr>
                <w:color w:val="000000"/>
              </w:rPr>
            </w:pPr>
            <w:r>
              <w:rPr>
                <w:color w:val="000000"/>
              </w:rPr>
              <w:t>Componente de software</w:t>
            </w:r>
          </w:p>
        </w:tc>
        <w:tc>
          <w:tcPr>
            <w:tcW w:w="41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32B" w:rsidRDefault="00DF532B" w:rsidP="003A3704">
            <w:r>
              <w:t>Conector nativo para Oracle</w:t>
            </w:r>
          </w:p>
          <w:p w:rsidR="00DF532B" w:rsidRDefault="00DF532B" w:rsidP="003A3704">
            <w:r>
              <w:t>Conector nativo para SQL</w:t>
            </w:r>
          </w:p>
        </w:tc>
      </w:tr>
    </w:tbl>
    <w:p w:rsidR="00DF532B" w:rsidRDefault="00DF532B" w:rsidP="00DF532B">
      <w:pPr>
        <w:ind w:left="142"/>
        <w:rPr>
          <w:rFonts w:ascii="Arial" w:hAnsi="Arial" w:cs="Arial"/>
          <w:sz w:val="24"/>
          <w:szCs w:val="24"/>
        </w:rPr>
      </w:pPr>
    </w:p>
    <w:p w:rsidR="00DF532B" w:rsidRDefault="00DF532B" w:rsidP="00DF532B">
      <w:pPr>
        <w:ind w:left="142"/>
        <w:rPr>
          <w:rFonts w:ascii="Arial" w:hAnsi="Arial" w:cs="Arial"/>
          <w:sz w:val="24"/>
          <w:szCs w:val="24"/>
        </w:rPr>
      </w:pPr>
    </w:p>
    <w:p w:rsidR="008A3125" w:rsidRDefault="008A3125"/>
    <w:sectPr w:rsidR="008A31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2B"/>
    <w:rsid w:val="000F7F8E"/>
    <w:rsid w:val="002A7C32"/>
    <w:rsid w:val="006B687B"/>
    <w:rsid w:val="00817E96"/>
    <w:rsid w:val="00825F71"/>
    <w:rsid w:val="008A3125"/>
    <w:rsid w:val="00AF04DB"/>
    <w:rsid w:val="00DF532B"/>
    <w:rsid w:val="00EA57F1"/>
    <w:rsid w:val="00EF257A"/>
    <w:rsid w:val="00F3077C"/>
    <w:rsid w:val="00F7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2CC4A0-427E-4CF4-B496-39A2616F8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3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F532B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7F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7F8E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Denti Adnet</dc:creator>
  <cp:keywords/>
  <dc:description/>
  <cp:lastModifiedBy>Denise Santos de Souza</cp:lastModifiedBy>
  <cp:revision>2</cp:revision>
  <cp:lastPrinted>2018-12-14T10:49:00Z</cp:lastPrinted>
  <dcterms:created xsi:type="dcterms:W3CDTF">2019-11-12T18:27:00Z</dcterms:created>
  <dcterms:modified xsi:type="dcterms:W3CDTF">2019-11-12T18:27:00Z</dcterms:modified>
</cp:coreProperties>
</file>