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43569" w14:textId="10652D20" w:rsidR="005C226E" w:rsidRDefault="00551DCB" w:rsidP="002301D0">
      <w:pPr>
        <w:jc w:val="center"/>
      </w:pPr>
      <w:r w:rsidRPr="002301D0">
        <w:rPr>
          <w:rFonts w:ascii="Century Gothic" w:hAnsi="Century Gothic"/>
          <w:b/>
          <w:sz w:val="22"/>
        </w:rPr>
        <w:t xml:space="preserve">Switch de </w:t>
      </w:r>
      <w:proofErr w:type="spellStart"/>
      <w:r>
        <w:rPr>
          <w:rFonts w:ascii="Century Gothic" w:hAnsi="Century Gothic" w:cs="Arial"/>
          <w:b/>
          <w:bCs/>
          <w:sz w:val="22"/>
          <w:szCs w:val="22"/>
        </w:rPr>
        <w:t>Nucleo</w:t>
      </w:r>
      <w:proofErr w:type="spellEnd"/>
      <w:r>
        <w:rPr>
          <w:rFonts w:ascii="Century Gothic" w:hAnsi="Century Gothic" w:cs="Arial"/>
          <w:b/>
          <w:bCs/>
          <w:sz w:val="22"/>
          <w:szCs w:val="22"/>
        </w:rPr>
        <w:t xml:space="preserve"> </w:t>
      </w:r>
      <w:r w:rsidRPr="002301D0">
        <w:rPr>
          <w:rFonts w:ascii="Century Gothic" w:hAnsi="Century Gothic"/>
          <w:b/>
          <w:sz w:val="22"/>
        </w:rPr>
        <w:t>24P 4SFP</w:t>
      </w:r>
    </w:p>
    <w:p w14:paraId="75D1FAA5" w14:textId="77777777" w:rsidR="005C226E" w:rsidRDefault="005C226E">
      <w:pPr>
        <w:pStyle w:val="Edital-Nvel1"/>
        <w:spacing w:line="276" w:lineRule="auto"/>
        <w:rPr>
          <w:rFonts w:ascii="Century Gothic" w:hAnsi="Century Gothic"/>
          <w:szCs w:val="22"/>
        </w:rPr>
      </w:pPr>
    </w:p>
    <w:tbl>
      <w:tblPr>
        <w:tblStyle w:val="Tabelacomgrade"/>
        <w:tblW w:w="9912" w:type="dxa"/>
        <w:tblCellMar>
          <w:left w:w="18" w:type="dxa"/>
        </w:tblCellMar>
        <w:tblLook w:val="04A0" w:firstRow="1" w:lastRow="0" w:firstColumn="1" w:lastColumn="0" w:noHBand="0" w:noVBand="1"/>
      </w:tblPr>
      <w:tblGrid>
        <w:gridCol w:w="9912"/>
      </w:tblGrid>
      <w:tr w:rsidR="005C226E" w14:paraId="36DA2EC8" w14:textId="77777777">
        <w:tc>
          <w:tcPr>
            <w:tcW w:w="9912" w:type="dxa"/>
            <w:shd w:val="clear" w:color="auto" w:fill="808080"/>
          </w:tcPr>
          <w:p w14:paraId="138995AA" w14:textId="3CE021C5" w:rsidR="005C226E" w:rsidRDefault="00551DCB">
            <w:pPr>
              <w:keepNext/>
              <w:numPr>
                <w:ilvl w:val="0"/>
                <w:numId w:val="6"/>
              </w:numPr>
              <w:tabs>
                <w:tab w:val="left" w:pos="0"/>
              </w:tabs>
              <w:snapToGrid w:val="0"/>
              <w:spacing w:line="276" w:lineRule="auto"/>
              <w:jc w:val="center"/>
              <w:outlineLvl w:val="0"/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Switch de </w:t>
            </w:r>
            <w:proofErr w:type="spellStart"/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Nucleo</w:t>
            </w:r>
            <w:proofErr w:type="spellEnd"/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entury Gothic" w:eastAsia="Arial" w:hAnsi="Century Gothic" w:cs="Arial"/>
                <w:b/>
                <w:bCs/>
                <w:sz w:val="22"/>
                <w:szCs w:val="22"/>
              </w:rPr>
              <w:t>24P 4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SFP</w:t>
            </w:r>
          </w:p>
          <w:p w14:paraId="203F48D7" w14:textId="1C99358B" w:rsidR="005C226E" w:rsidRDefault="005C226E">
            <w:pPr>
              <w:keepNext/>
              <w:numPr>
                <w:ilvl w:val="0"/>
                <w:numId w:val="6"/>
              </w:numPr>
              <w:tabs>
                <w:tab w:val="left" w:pos="0"/>
              </w:tabs>
              <w:snapToGrid w:val="0"/>
              <w:spacing w:line="276" w:lineRule="auto"/>
              <w:jc w:val="center"/>
              <w:outlineLvl w:val="0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5C226E" w14:paraId="4A86142C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6A6A6"/>
          </w:tcPr>
          <w:p w14:paraId="6B417DDA" w14:textId="77777777" w:rsidR="005C226E" w:rsidRDefault="00551DCB">
            <w:pPr>
              <w:numPr>
                <w:ilvl w:val="0"/>
                <w:numId w:val="5"/>
              </w:numPr>
              <w:jc w:val="both"/>
              <w:rPr>
                <w:rFonts w:ascii="Century Gothic" w:hAnsi="Century Gothic" w:cs="Arial"/>
                <w:b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sz w:val="22"/>
                <w:szCs w:val="22"/>
              </w:rPr>
              <w:t>Características Gerais</w:t>
            </w:r>
          </w:p>
        </w:tc>
      </w:tr>
      <w:tr w:rsidR="005C226E" w14:paraId="18E860FD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14C0BF1E" w14:textId="77777777" w:rsidR="005C226E" w:rsidRDefault="00551DCB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</w:p>
          <w:p w14:paraId="4170A14A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Gabinete para instalação em rack de 19”;</w:t>
            </w:r>
          </w:p>
        </w:tc>
      </w:tr>
      <w:tr w:rsidR="005C226E" w14:paraId="3C98F6B7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25DD79DE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 w:cs="Arial"/>
                <w:sz w:val="22"/>
                <w:szCs w:val="22"/>
              </w:rPr>
              <w:t>Possuir LEDs para a indicação do status das portas e atividade;</w:t>
            </w:r>
          </w:p>
        </w:tc>
      </w:tr>
      <w:tr w:rsidR="005C226E" w14:paraId="7F0C4D00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533DA5BE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O equipamento deverá ser capaz de comutar um volume de 56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Gbps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; </w:t>
            </w:r>
          </w:p>
        </w:tc>
      </w:tr>
      <w:tr w:rsidR="005C226E" w14:paraId="43F46FA7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15F2F72F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Possuir capacidade mínima de encaminhamento,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Forwarding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Rate, de 64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Mpps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;</w:t>
            </w:r>
          </w:p>
          <w:p w14:paraId="2501750E" w14:textId="77777777" w:rsidR="005C226E" w:rsidRDefault="005C226E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5C226E" w14:paraId="3B7EF730" w14:textId="77777777">
        <w:tc>
          <w:tcPr>
            <w:tcW w:w="9912" w:type="dxa"/>
            <w:shd w:val="clear" w:color="auto" w:fill="A6A6A6"/>
          </w:tcPr>
          <w:p w14:paraId="136C4425" w14:textId="77777777" w:rsidR="005C226E" w:rsidRDefault="00551DCB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b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sz w:val="22"/>
                <w:szCs w:val="22"/>
              </w:rPr>
              <w:t>Portas</w:t>
            </w:r>
          </w:p>
        </w:tc>
      </w:tr>
      <w:tr w:rsidR="005C226E" w14:paraId="004D7A01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10DDCBAD" w14:textId="77777777" w:rsidR="005C226E" w:rsidRDefault="005C226E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27DB5A28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24 Portas 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10/100/1000BASE-T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auto-sensing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;</w:t>
            </w:r>
          </w:p>
          <w:p w14:paraId="251E6DC0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jc w:val="both"/>
            </w:pPr>
            <w:bookmarkStart w:id="0" w:name="__DdeLink__1374_1105151046"/>
            <w:r>
              <w:rPr>
                <w:rFonts w:ascii="Century Gothic" w:hAnsi="Century Gothic" w:cs="Arial"/>
                <w:sz w:val="22"/>
                <w:szCs w:val="22"/>
              </w:rPr>
              <w:t xml:space="preserve">4 Slots SFP 1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Gbps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compatíveis com padrão 1000Base-X</w:t>
            </w:r>
            <w:bookmarkEnd w:id="0"/>
            <w:r>
              <w:rPr>
                <w:rFonts w:ascii="Century Gothic" w:hAnsi="Century Gothic" w:cs="Arial"/>
                <w:sz w:val="22"/>
                <w:szCs w:val="22"/>
              </w:rPr>
              <w:t>, podendo ser 2 portas para empilhamento;</w:t>
            </w:r>
          </w:p>
          <w:p w14:paraId="1B652197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1 Porta de Gerenciamento Ethernet 10/100Base -T ou USB. Será aceita a utilização de 1 adaptador, que deverá ser fornecido, para a </w:t>
            </w:r>
            <w:r>
              <w:rPr>
                <w:rFonts w:ascii="Century Gothic" w:hAnsi="Century Gothic" w:cs="Arial"/>
                <w:sz w:val="22"/>
                <w:szCs w:val="22"/>
              </w:rPr>
              <w:t>conexão da porta de gerenciamento à porta Ethernet;</w:t>
            </w:r>
          </w:p>
          <w:p w14:paraId="11C6523C" w14:textId="77777777" w:rsidR="005C226E" w:rsidRDefault="005C226E">
            <w:pPr>
              <w:spacing w:line="276" w:lineRule="auto"/>
              <w:jc w:val="both"/>
            </w:pPr>
          </w:p>
        </w:tc>
      </w:tr>
      <w:tr w:rsidR="005C226E" w14:paraId="4B39FCB2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374E204D" w14:textId="77777777" w:rsidR="005C226E" w:rsidRDefault="005C226E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5C226E" w14:paraId="3968B6BE" w14:textId="77777777">
        <w:tc>
          <w:tcPr>
            <w:tcW w:w="9912" w:type="dxa"/>
            <w:shd w:val="clear" w:color="auto" w:fill="A6A6A6"/>
          </w:tcPr>
          <w:p w14:paraId="0AA00EE9" w14:textId="77777777" w:rsidR="005C226E" w:rsidRDefault="00551DCB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sz w:val="22"/>
                <w:szCs w:val="22"/>
              </w:rPr>
              <w:t>Empilhamento</w:t>
            </w:r>
          </w:p>
        </w:tc>
      </w:tr>
      <w:tr w:rsidR="005C226E" w14:paraId="47C65663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01377669" w14:textId="77777777" w:rsidR="005C226E" w:rsidRDefault="005C226E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5C226E" w14:paraId="215D2F49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1EECEF4E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Suporte ao empilhamento físico ou virtual de, no mínimo, 4 (quatro) equipamentos. As unidades empilhadas deverão ser visualizadas e gerenciadas como um único equipamento; </w:t>
            </w:r>
          </w:p>
          <w:p w14:paraId="02A55264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Em caso de falha de qualquer equipamento da pilha, as demais unidades deverão perman</w:t>
            </w:r>
            <w:r>
              <w:rPr>
                <w:rFonts w:ascii="Century Gothic" w:hAnsi="Century Gothic" w:cs="Arial"/>
                <w:sz w:val="22"/>
                <w:szCs w:val="22"/>
              </w:rPr>
              <w:t>ecer operacionais, sem perda de desempenho;</w:t>
            </w:r>
          </w:p>
          <w:p w14:paraId="1B566BA5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Deverá acompanhar todos os cabos, adaptadores e softwares necessários ao empilhamento dos equipamentos do mesmo item;</w:t>
            </w:r>
          </w:p>
          <w:p w14:paraId="5D6C5DF4" w14:textId="77777777" w:rsidR="005C226E" w:rsidRDefault="005C226E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5C226E" w14:paraId="07619D93" w14:textId="77777777">
        <w:tc>
          <w:tcPr>
            <w:tcW w:w="9912" w:type="dxa"/>
            <w:shd w:val="clear" w:color="auto" w:fill="A6A6A6"/>
          </w:tcPr>
          <w:p w14:paraId="0EEBCE9A" w14:textId="77777777" w:rsidR="005C226E" w:rsidRDefault="00551DCB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Gerenciamento</w:t>
            </w:r>
          </w:p>
        </w:tc>
      </w:tr>
      <w:tr w:rsidR="005C226E" w14:paraId="1ED2B674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46E6C9A6" w14:textId="77777777" w:rsidR="005C226E" w:rsidRDefault="005C226E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5C226E" w14:paraId="6C41FA98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14AE4F1E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Suporte ao armazenamento de, no mínimo, duas versões de firmware;</w:t>
            </w:r>
          </w:p>
          <w:p w14:paraId="7E1DF69B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Suporte ao armazenamento de, no mínimo, 2 arquivos de configuração;</w:t>
            </w:r>
          </w:p>
          <w:p w14:paraId="5E8A87CD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Suporte ao protocolo SNMP v1 e SNMP v2;</w:t>
            </w:r>
          </w:p>
          <w:p w14:paraId="0388A81B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Permitir a gravação de log externo com 02 grupos de monitoramento remoto;</w:t>
            </w:r>
          </w:p>
          <w:p w14:paraId="2CA5C51D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Interface de configuração via linhas de comando (CLI) acessível pela porta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 de gerenciamento, Telnet e SSH;</w:t>
            </w:r>
          </w:p>
          <w:p w14:paraId="6E87B0F0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Interface de configuração web, utilizando protocolo HTTPS;</w:t>
            </w:r>
          </w:p>
          <w:p w14:paraId="669BEB5C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Implementar autenticação via TACACS+ ou similar.</w:t>
            </w:r>
          </w:p>
          <w:p w14:paraId="06A11226" w14:textId="77777777" w:rsidR="005C226E" w:rsidRDefault="005C226E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5C226E" w14:paraId="7D8209F7" w14:textId="77777777">
        <w:tc>
          <w:tcPr>
            <w:tcW w:w="9912" w:type="dxa"/>
            <w:shd w:val="clear" w:color="auto" w:fill="A6A6A6"/>
          </w:tcPr>
          <w:p w14:paraId="3A377B4D" w14:textId="77777777" w:rsidR="005C226E" w:rsidRDefault="00551DCB">
            <w:pPr>
              <w:numPr>
                <w:ilvl w:val="0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Funções de Camada 2</w:t>
            </w:r>
          </w:p>
        </w:tc>
      </w:tr>
      <w:tr w:rsidR="005C226E" w14:paraId="05E1173A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00C55680" w14:textId="77777777" w:rsidR="005C226E" w:rsidRDefault="005C226E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2D941317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Tabela de endereços MAC com capacidade mínima de 16000 entradas;</w:t>
            </w:r>
          </w:p>
          <w:p w14:paraId="24AD21BD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lastRenderedPageBreak/>
              <w:t xml:space="preserve">Suporte a, no 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mínimo, 1000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VLANs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;</w:t>
            </w:r>
          </w:p>
          <w:p w14:paraId="20F42079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Suporte ao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protocol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IEEE 802.1w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Rapid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spanning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Tree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Protocol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;</w:t>
            </w:r>
          </w:p>
          <w:p w14:paraId="508E84C1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hAnsi="Century Gothic" w:cs="Arial"/>
                <w:sz w:val="22"/>
                <w:szCs w:val="22"/>
                <w:lang w:val="en-US"/>
              </w:rPr>
              <w:t>IEEE 802.1s Multiple Spanning Tree;</w:t>
            </w:r>
          </w:p>
          <w:p w14:paraId="0687CA8E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>IEEE</w:t>
            </w:r>
            <w:r>
              <w:rPr>
                <w:rFonts w:ascii="Century Gothic" w:eastAsia="Arial" w:hAnsi="Century Gothic" w:cs="Arial"/>
                <w:sz w:val="22"/>
                <w:szCs w:val="22"/>
              </w:rPr>
              <w:t xml:space="preserve"> </w:t>
            </w:r>
            <w:r>
              <w:rPr>
                <w:rFonts w:ascii="Century Gothic" w:eastAsia="Calibri" w:hAnsi="Century Gothic" w:cs="Arial"/>
                <w:sz w:val="22"/>
                <w:szCs w:val="22"/>
              </w:rPr>
              <w:t>802.1p</w:t>
            </w:r>
            <w:r>
              <w:rPr>
                <w:rFonts w:ascii="Century Gothic" w:eastAsia="Arial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QoS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>;</w:t>
            </w:r>
          </w:p>
          <w:p w14:paraId="22724AB5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hAnsi="Century Gothic" w:cs="Arial"/>
                <w:sz w:val="22"/>
                <w:szCs w:val="22"/>
                <w:lang w:val="en-US"/>
              </w:rPr>
              <w:t>IEEE 802.1Q VLAN</w:t>
            </w:r>
            <w:r>
              <w:rPr>
                <w:rFonts w:ascii="Century Gothic" w:hAnsi="Century Gothic"/>
                <w:sz w:val="22"/>
                <w:szCs w:val="22"/>
              </w:rPr>
              <w:t>;</w:t>
            </w:r>
          </w:p>
          <w:p w14:paraId="15A8C02C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hAnsi="Century Gothic" w:cs="Arial"/>
                <w:sz w:val="22"/>
                <w:szCs w:val="22"/>
                <w:lang w:val="en-US"/>
              </w:rPr>
              <w:t>IEEE 802.1AB LLDP</w:t>
            </w:r>
            <w:r>
              <w:rPr>
                <w:rFonts w:ascii="Century Gothic" w:hAnsi="Century Gothic"/>
                <w:sz w:val="22"/>
                <w:szCs w:val="22"/>
              </w:rPr>
              <w:t>;</w:t>
            </w:r>
          </w:p>
        </w:tc>
      </w:tr>
      <w:tr w:rsidR="005C226E" w14:paraId="15359B5C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2744CB3D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lastRenderedPageBreak/>
              <w:t>Suporte ao protocolo IEEE 802.3ad, e capacidade de agregação de até 04 portas físic</w:t>
            </w:r>
            <w:r>
              <w:rPr>
                <w:rFonts w:ascii="Century Gothic" w:hAnsi="Century Gothic" w:cs="Arial"/>
                <w:sz w:val="22"/>
                <w:szCs w:val="22"/>
              </w:rPr>
              <w:t>as por tronco e quatro troncos por equipamento;</w:t>
            </w:r>
          </w:p>
        </w:tc>
      </w:tr>
      <w:tr w:rsidR="005C226E" w14:paraId="3ADA44E6" w14:textId="77777777">
        <w:tc>
          <w:tcPr>
            <w:tcW w:w="9912" w:type="dxa"/>
            <w:tcBorders>
              <w:top w:val="nil"/>
            </w:tcBorders>
            <w:shd w:val="clear" w:color="auto" w:fill="auto"/>
          </w:tcPr>
          <w:p w14:paraId="4495D4BD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Suporte a NTP (Network Time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Protocol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) ou SNTP (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Simple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Network Time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Protocol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); </w:t>
            </w:r>
          </w:p>
          <w:p w14:paraId="430F38F7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Permitir o espelhamento de portas, N –1 (Várias portas de origem e 1 porta de destino) e 1 – 1 (1 porta de origem e 1 porta de </w:t>
            </w:r>
            <w:r>
              <w:rPr>
                <w:rFonts w:ascii="Century Gothic" w:hAnsi="Century Gothic" w:cs="Arial"/>
                <w:sz w:val="22"/>
                <w:szCs w:val="22"/>
              </w:rPr>
              <w:t>destino);</w:t>
            </w:r>
          </w:p>
          <w:p w14:paraId="3A09418F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Suporte a IGPM v1 ou IGPM v2;</w:t>
            </w:r>
          </w:p>
          <w:p w14:paraId="1024DF06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</w:pPr>
            <w:r>
              <w:rPr>
                <w:rFonts w:ascii="Century Gothic" w:hAnsi="Century Gothic" w:cs="Arial"/>
                <w:sz w:val="22"/>
                <w:szCs w:val="22"/>
              </w:rPr>
              <w:t>O equipamento ofertado deve implementar jumbo frames de pelo menos 9188 bytes.</w:t>
            </w:r>
          </w:p>
          <w:p w14:paraId="718C9503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>Suporte a controle de acesso por porta, definido pelo Mac-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Address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ou através do protocolo 802.1x, com configuração dinâmica de VLAN;</w:t>
            </w:r>
          </w:p>
          <w:p w14:paraId="393D77E5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>Supo</w:t>
            </w: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rte a controle de quantidade de pacotes broadcast,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multicast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unicast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por porta;</w:t>
            </w:r>
          </w:p>
          <w:p w14:paraId="062D63F0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>Implementar a criação de listas de acesso baseadas em endereços IP para limitar o acesso ao elemento de rede via Telnet ou SSH, possibilitando a definição dos endereços IP de</w:t>
            </w: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origem das respectivas sessões.</w:t>
            </w:r>
          </w:p>
          <w:p w14:paraId="165F9634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>Implementar DHCP Relay por porta ou VLAN;</w:t>
            </w:r>
          </w:p>
          <w:p w14:paraId="6C11FC37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Implementar DHCP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snooping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>;</w:t>
            </w:r>
          </w:p>
          <w:p w14:paraId="0905B415" w14:textId="77777777" w:rsidR="005C226E" w:rsidRDefault="005C226E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5C226E" w14:paraId="150B7AB4" w14:textId="77777777">
        <w:tc>
          <w:tcPr>
            <w:tcW w:w="9912" w:type="dxa"/>
            <w:shd w:val="clear" w:color="auto" w:fill="A6A6A6"/>
          </w:tcPr>
          <w:p w14:paraId="6291F907" w14:textId="77777777" w:rsidR="005C226E" w:rsidRDefault="00551DCB">
            <w:pPr>
              <w:keepNext/>
              <w:numPr>
                <w:ilvl w:val="0"/>
                <w:numId w:val="5"/>
              </w:numPr>
              <w:shd w:val="clear" w:color="auto" w:fill="CCCCCC"/>
              <w:tabs>
                <w:tab w:val="left" w:pos="0"/>
              </w:tabs>
              <w:snapToGrid w:val="0"/>
              <w:spacing w:line="276" w:lineRule="auto"/>
              <w:jc w:val="both"/>
              <w:outlineLvl w:val="2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Qualidade de Serviço</w:t>
            </w:r>
          </w:p>
        </w:tc>
      </w:tr>
      <w:tr w:rsidR="005C226E" w14:paraId="29F14FF3" w14:textId="77777777">
        <w:tc>
          <w:tcPr>
            <w:tcW w:w="9912" w:type="dxa"/>
            <w:shd w:val="clear" w:color="auto" w:fill="auto"/>
          </w:tcPr>
          <w:p w14:paraId="746F1A36" w14:textId="77777777" w:rsidR="005C226E" w:rsidRDefault="005C226E">
            <w:p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</w:p>
          <w:p w14:paraId="654D8D1D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O equipamento ofertado deve permitir priorização de tráfego usando pelo menos 4 filas de priorização por porta. </w:t>
            </w:r>
          </w:p>
          <w:p w14:paraId="6B2B8958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>O equipamento ofertado deve permitir classificação e priorização do tráfego recebido de acordo com os seguintes critérios: porta física de entr</w:t>
            </w: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ada, campo PCP do protocolo IEEE 802.1p, campo DSCP usando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DiffServ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e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ACLs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para IPv4. </w:t>
            </w:r>
          </w:p>
          <w:p w14:paraId="0040DFD2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>O equipamento ofertado deve permitir a marcação de pacotes para transmissão para outros equipamentos com base nos seguintes critérios: prioridade definida pelo protocolo</w:t>
            </w: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IEEE 802.1p (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CoS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) e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DiffServ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(DSCP). </w:t>
            </w:r>
          </w:p>
          <w:p w14:paraId="53D72FAA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O equipamento ofertado deve implementar pelos menos dois entre os seguintes métodos para utilização das filas de priorização: </w:t>
            </w:r>
          </w:p>
          <w:p w14:paraId="014C6554" w14:textId="77777777" w:rsidR="005C226E" w:rsidRDefault="00551DCB">
            <w:pPr>
              <w:pStyle w:val="PargrafodaLista"/>
              <w:numPr>
                <w:ilvl w:val="0"/>
                <w:numId w:val="37"/>
              </w:num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  <w:t xml:space="preserve">Weighted Fair Queueing (WFQ), </w:t>
            </w:r>
          </w:p>
          <w:p w14:paraId="6AD7FDD6" w14:textId="77777777" w:rsidR="005C226E" w:rsidRDefault="00551DCB">
            <w:pPr>
              <w:pStyle w:val="PargrafodaLista"/>
              <w:numPr>
                <w:ilvl w:val="0"/>
                <w:numId w:val="37"/>
              </w:num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  <w:t xml:space="preserve">Weighted Tail Drop (WTD), </w:t>
            </w:r>
          </w:p>
          <w:p w14:paraId="7B31EF07" w14:textId="77777777" w:rsidR="005C226E" w:rsidRDefault="00551DCB">
            <w:pPr>
              <w:pStyle w:val="PargrafodaLista"/>
              <w:numPr>
                <w:ilvl w:val="0"/>
                <w:numId w:val="37"/>
              </w:num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  <w:t xml:space="preserve">SRR (Shaped Round-Robin) </w:t>
            </w:r>
          </w:p>
          <w:p w14:paraId="45ABE7B0" w14:textId="77777777" w:rsidR="005C226E" w:rsidRDefault="00551DCB">
            <w:pPr>
              <w:pStyle w:val="PargrafodaLista"/>
              <w:numPr>
                <w:ilvl w:val="0"/>
                <w:numId w:val="37"/>
              </w:num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  <w:t xml:space="preserve">SDWRR </w:t>
            </w:r>
            <w:r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  <w:t xml:space="preserve">(Shaped Deficit Weighted Round-Robin) </w:t>
            </w:r>
          </w:p>
          <w:p w14:paraId="6EE4266C" w14:textId="77777777" w:rsidR="005C226E" w:rsidRDefault="00551DCB">
            <w:pPr>
              <w:pStyle w:val="PargrafodaLista"/>
              <w:numPr>
                <w:ilvl w:val="0"/>
                <w:numId w:val="37"/>
              </w:numPr>
              <w:spacing w:line="276" w:lineRule="auto"/>
              <w:jc w:val="both"/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  <w:lang w:val="en-US"/>
              </w:rPr>
              <w:t>WRR (Weighted Round Robin)) e Strict Priority (SP)</w:t>
            </w:r>
          </w:p>
          <w:p w14:paraId="41A2F51F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Implementar limitação de tráfego de entrada e saída por interface,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vlan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ou classe de serviço, permitindo variar a taxa de limitação com granularidade de 1 Mbps;</w:t>
            </w:r>
          </w:p>
          <w:p w14:paraId="23A271B7" w14:textId="77777777" w:rsidR="005C226E" w:rsidRDefault="005C226E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5C226E" w14:paraId="509FE52D" w14:textId="77777777">
        <w:tc>
          <w:tcPr>
            <w:tcW w:w="9912" w:type="dxa"/>
            <w:shd w:val="clear" w:color="auto" w:fill="A6A6A6"/>
          </w:tcPr>
          <w:p w14:paraId="2994E848" w14:textId="77777777" w:rsidR="005C226E" w:rsidRDefault="00551DCB">
            <w:pPr>
              <w:keepNext/>
              <w:numPr>
                <w:ilvl w:val="0"/>
                <w:numId w:val="5"/>
              </w:numPr>
              <w:shd w:val="clear" w:color="auto" w:fill="CCCCCC"/>
              <w:tabs>
                <w:tab w:val="left" w:pos="0"/>
              </w:tabs>
              <w:snapToGrid w:val="0"/>
              <w:spacing w:line="276" w:lineRule="auto"/>
              <w:ind w:left="0" w:firstLine="0"/>
              <w:jc w:val="both"/>
              <w:outlineLvl w:val="2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Funções de Camada 3</w:t>
            </w:r>
          </w:p>
        </w:tc>
      </w:tr>
      <w:tr w:rsidR="005C226E" w14:paraId="2735652B" w14:textId="77777777">
        <w:tc>
          <w:tcPr>
            <w:tcW w:w="9912" w:type="dxa"/>
            <w:shd w:val="clear" w:color="auto" w:fill="auto"/>
          </w:tcPr>
          <w:p w14:paraId="2127D314" w14:textId="77777777" w:rsidR="005C226E" w:rsidRDefault="005C226E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0FD9770B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lastRenderedPageBreak/>
              <w:t>Implementar roteamento de pacotes IPv4 e IPv6 em hardware;</w:t>
            </w:r>
          </w:p>
          <w:p w14:paraId="24B88D21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Suportar, no mínimo, 1000 (mil) rotas estáticas;</w:t>
            </w:r>
          </w:p>
          <w:p w14:paraId="570B044D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Tabela de Roteamento com até 4096 rotas;</w:t>
            </w:r>
          </w:p>
          <w:p w14:paraId="5CB0EB97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Implementar roteamento entre as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VLANs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;</w:t>
            </w:r>
          </w:p>
          <w:p w14:paraId="0A4AF619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Implementar DHCP Server;</w:t>
            </w:r>
          </w:p>
          <w:p w14:paraId="78CFC251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Implementar os protocolos de roteamento dinâmico para IPv4: RIPv1, RIPv2, OSPFv2:</w:t>
            </w:r>
          </w:p>
          <w:p w14:paraId="555EA831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Implementar mecanismo de segurança do protocolo OSPF permitindo a autenticação mutua entre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peers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OSPF;</w:t>
            </w:r>
          </w:p>
          <w:p w14:paraId="2B6748ED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>Implementar Roteamento baseado em políticas, PBR;</w:t>
            </w:r>
          </w:p>
          <w:p w14:paraId="34657FDE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eastAsia="Calibri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>Deve permitir a criaç</w:t>
            </w: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ão e utilização simultânea de no mínimo 100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ACLs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(Access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Control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Lists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>), baseadas em endereço IP de origem/destino, tipos de protocolo (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ip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tcp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entury Gothic" w:eastAsia="Calibri" w:hAnsi="Century Gothic" w:cs="Arial"/>
                <w:sz w:val="22"/>
                <w:szCs w:val="22"/>
              </w:rPr>
              <w:t>udp</w:t>
            </w:r>
            <w:proofErr w:type="spellEnd"/>
            <w:r>
              <w:rPr>
                <w:rFonts w:ascii="Century Gothic" w:eastAsia="Calibri" w:hAnsi="Century Gothic" w:cs="Arial"/>
                <w:sz w:val="22"/>
                <w:szCs w:val="22"/>
              </w:rPr>
              <w:t>), portas de origem e destino;</w:t>
            </w:r>
          </w:p>
          <w:p w14:paraId="34E74456" w14:textId="77777777" w:rsidR="005C226E" w:rsidRDefault="005C226E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5C226E" w14:paraId="5D3612BF" w14:textId="77777777">
        <w:tc>
          <w:tcPr>
            <w:tcW w:w="9912" w:type="dxa"/>
            <w:shd w:val="clear" w:color="auto" w:fill="A6A6A6"/>
          </w:tcPr>
          <w:p w14:paraId="4676F8DD" w14:textId="77777777" w:rsidR="005C226E" w:rsidRDefault="00551DCB">
            <w:pPr>
              <w:keepNext/>
              <w:numPr>
                <w:ilvl w:val="0"/>
                <w:numId w:val="5"/>
              </w:numPr>
              <w:shd w:val="clear" w:color="auto" w:fill="CCCCCC"/>
              <w:tabs>
                <w:tab w:val="left" w:pos="0"/>
              </w:tabs>
              <w:snapToGrid w:val="0"/>
              <w:spacing w:line="276" w:lineRule="auto"/>
              <w:ind w:left="0" w:firstLine="0"/>
              <w:jc w:val="both"/>
              <w:outlineLvl w:val="2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lastRenderedPageBreak/>
              <w:t>Alimentação</w:t>
            </w:r>
          </w:p>
        </w:tc>
      </w:tr>
      <w:tr w:rsidR="005C226E" w14:paraId="629BBA5D" w14:textId="77777777">
        <w:tc>
          <w:tcPr>
            <w:tcW w:w="9912" w:type="dxa"/>
            <w:shd w:val="clear" w:color="auto" w:fill="auto"/>
          </w:tcPr>
          <w:p w14:paraId="7E7A08C4" w14:textId="77777777" w:rsidR="005C226E" w:rsidRDefault="005C226E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14:paraId="2AAF502C" w14:textId="77777777" w:rsidR="005C226E" w:rsidRDefault="005C226E">
            <w:pPr>
              <w:pStyle w:val="PargrafodaLista"/>
              <w:numPr>
                <w:ilvl w:val="0"/>
                <w:numId w:val="7"/>
              </w:numPr>
              <w:jc w:val="both"/>
              <w:rPr>
                <w:rFonts w:ascii="Century Gothic" w:eastAsia="Calibri" w:hAnsi="Century Gothic" w:cs="Arial"/>
                <w:vanish/>
                <w:sz w:val="22"/>
                <w:szCs w:val="22"/>
              </w:rPr>
            </w:pPr>
          </w:p>
          <w:p w14:paraId="22A38353" w14:textId="77777777" w:rsidR="005C226E" w:rsidRDefault="005C226E">
            <w:pPr>
              <w:pStyle w:val="PargrafodaLista"/>
              <w:numPr>
                <w:ilvl w:val="0"/>
                <w:numId w:val="7"/>
              </w:numPr>
              <w:jc w:val="both"/>
              <w:rPr>
                <w:rFonts w:ascii="Century Gothic" w:eastAsia="Calibri" w:hAnsi="Century Gothic" w:cs="Arial"/>
                <w:vanish/>
                <w:sz w:val="22"/>
                <w:szCs w:val="22"/>
              </w:rPr>
            </w:pPr>
          </w:p>
          <w:p w14:paraId="75F1CABC" w14:textId="77777777" w:rsidR="005C226E" w:rsidRDefault="005C226E">
            <w:pPr>
              <w:pStyle w:val="PargrafodaLista"/>
              <w:numPr>
                <w:ilvl w:val="0"/>
                <w:numId w:val="7"/>
              </w:numPr>
              <w:jc w:val="both"/>
              <w:rPr>
                <w:rFonts w:ascii="Century Gothic" w:eastAsia="Calibri" w:hAnsi="Century Gothic" w:cs="Arial"/>
                <w:vanish/>
                <w:sz w:val="22"/>
                <w:szCs w:val="22"/>
              </w:rPr>
            </w:pPr>
          </w:p>
          <w:p w14:paraId="57FB885B" w14:textId="77777777" w:rsidR="005C226E" w:rsidRDefault="005C226E">
            <w:pPr>
              <w:pStyle w:val="PargrafodaLista"/>
              <w:numPr>
                <w:ilvl w:val="0"/>
                <w:numId w:val="7"/>
              </w:numPr>
              <w:jc w:val="both"/>
              <w:rPr>
                <w:rFonts w:ascii="Century Gothic" w:eastAsia="Calibri" w:hAnsi="Century Gothic" w:cs="Arial"/>
                <w:vanish/>
                <w:sz w:val="22"/>
                <w:szCs w:val="22"/>
              </w:rPr>
            </w:pPr>
          </w:p>
          <w:p w14:paraId="67AAE0D9" w14:textId="77777777" w:rsidR="005C226E" w:rsidRDefault="005C226E">
            <w:pPr>
              <w:pStyle w:val="PargrafodaLista"/>
              <w:numPr>
                <w:ilvl w:val="0"/>
                <w:numId w:val="7"/>
              </w:numPr>
              <w:jc w:val="both"/>
              <w:rPr>
                <w:rFonts w:ascii="Century Gothic" w:eastAsia="Calibri" w:hAnsi="Century Gothic" w:cs="Arial"/>
                <w:vanish/>
                <w:sz w:val="22"/>
                <w:szCs w:val="22"/>
              </w:rPr>
            </w:pPr>
          </w:p>
          <w:p w14:paraId="2180E436" w14:textId="77777777" w:rsidR="005C226E" w:rsidRDefault="005C226E">
            <w:pPr>
              <w:pStyle w:val="PargrafodaLista"/>
              <w:numPr>
                <w:ilvl w:val="0"/>
                <w:numId w:val="7"/>
              </w:numPr>
              <w:jc w:val="both"/>
              <w:rPr>
                <w:rFonts w:ascii="Century Gothic" w:eastAsia="Calibri" w:hAnsi="Century Gothic" w:cs="Arial"/>
                <w:vanish/>
                <w:sz w:val="22"/>
                <w:szCs w:val="22"/>
              </w:rPr>
            </w:pPr>
          </w:p>
          <w:p w14:paraId="68BFBD5D" w14:textId="77777777" w:rsidR="005C226E" w:rsidRDefault="005C226E">
            <w:pPr>
              <w:pStyle w:val="PargrafodaLista"/>
              <w:numPr>
                <w:ilvl w:val="0"/>
                <w:numId w:val="7"/>
              </w:numPr>
              <w:jc w:val="both"/>
              <w:rPr>
                <w:rFonts w:ascii="Century Gothic" w:eastAsia="Calibri" w:hAnsi="Century Gothic" w:cs="Arial"/>
                <w:vanish/>
                <w:sz w:val="22"/>
                <w:szCs w:val="22"/>
              </w:rPr>
            </w:pPr>
          </w:p>
          <w:p w14:paraId="1ED07925" w14:textId="77777777" w:rsidR="005C226E" w:rsidRDefault="005C226E">
            <w:pPr>
              <w:pStyle w:val="PargrafodaLista"/>
              <w:numPr>
                <w:ilvl w:val="0"/>
                <w:numId w:val="7"/>
              </w:numPr>
              <w:jc w:val="both"/>
              <w:rPr>
                <w:rFonts w:ascii="Century Gothic" w:eastAsia="Calibri" w:hAnsi="Century Gothic" w:cs="Arial"/>
                <w:vanish/>
                <w:sz w:val="22"/>
                <w:szCs w:val="22"/>
              </w:rPr>
            </w:pPr>
          </w:p>
          <w:p w14:paraId="3EC44A8C" w14:textId="77777777" w:rsidR="005C226E" w:rsidRDefault="00551DCB">
            <w:pPr>
              <w:numPr>
                <w:ilvl w:val="1"/>
                <w:numId w:val="7"/>
              </w:numPr>
              <w:ind w:left="432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eastAsia="Calibri" w:hAnsi="Century Gothic" w:cs="Arial"/>
                <w:sz w:val="22"/>
                <w:szCs w:val="22"/>
              </w:rPr>
              <w:t xml:space="preserve">Fonte de alimentação interna, com seleção </w:t>
            </w:r>
            <w:r>
              <w:rPr>
                <w:rFonts w:ascii="Century Gothic" w:eastAsia="Calibri" w:hAnsi="Century Gothic" w:cs="Arial"/>
                <w:sz w:val="22"/>
                <w:szCs w:val="22"/>
              </w:rPr>
              <w:t>automática de tensão entre 110V e 220V;</w:t>
            </w:r>
          </w:p>
          <w:p w14:paraId="0B6CA8FD" w14:textId="77777777" w:rsidR="005C226E" w:rsidRDefault="005C226E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5C226E" w14:paraId="1C044FFE" w14:textId="77777777">
        <w:tc>
          <w:tcPr>
            <w:tcW w:w="9912" w:type="dxa"/>
            <w:shd w:val="clear" w:color="auto" w:fill="A6A6A6"/>
          </w:tcPr>
          <w:p w14:paraId="0B49746E" w14:textId="77777777" w:rsidR="005C226E" w:rsidRDefault="00551DCB">
            <w:pPr>
              <w:keepNext/>
              <w:numPr>
                <w:ilvl w:val="0"/>
                <w:numId w:val="5"/>
              </w:numPr>
              <w:shd w:val="clear" w:color="auto" w:fill="CCCCCC"/>
              <w:tabs>
                <w:tab w:val="left" w:pos="0"/>
              </w:tabs>
              <w:snapToGrid w:val="0"/>
              <w:spacing w:line="276" w:lineRule="auto"/>
              <w:ind w:left="0" w:firstLine="0"/>
              <w:jc w:val="both"/>
              <w:outlineLvl w:val="2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Diversos</w:t>
            </w:r>
          </w:p>
        </w:tc>
      </w:tr>
      <w:tr w:rsidR="005C226E" w14:paraId="26BCB8D8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6C7D874E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Manual de instalação, configuração e operação;</w:t>
            </w:r>
          </w:p>
        </w:tc>
      </w:tr>
      <w:tr w:rsidR="005C226E" w14:paraId="328AAA09" w14:textId="77777777">
        <w:tc>
          <w:tcPr>
            <w:tcW w:w="9912" w:type="dxa"/>
            <w:tcBorders>
              <w:top w:val="nil"/>
              <w:bottom w:val="nil"/>
            </w:tcBorders>
            <w:shd w:val="clear" w:color="auto" w:fill="auto"/>
          </w:tcPr>
          <w:p w14:paraId="310BF389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O equipamento deverá ser novo e constar na linha de comercialização do fabricante;</w:t>
            </w:r>
          </w:p>
        </w:tc>
      </w:tr>
      <w:tr w:rsidR="005C226E" w14:paraId="2CCEB625" w14:textId="77777777">
        <w:tc>
          <w:tcPr>
            <w:tcW w:w="9912" w:type="dxa"/>
            <w:tcBorders>
              <w:top w:val="nil"/>
            </w:tcBorders>
            <w:shd w:val="clear" w:color="auto" w:fill="auto"/>
          </w:tcPr>
          <w:p w14:paraId="0CA9D7E4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Todas as licenças necessárias para o cumprimento dos </w:t>
            </w:r>
            <w:r>
              <w:rPr>
                <w:rFonts w:ascii="Century Gothic" w:hAnsi="Century Gothic" w:cs="Arial"/>
                <w:sz w:val="22"/>
                <w:szCs w:val="22"/>
              </w:rPr>
              <w:t>requisitos deverão ser fornecidas junto com o equipamento, sem prazo de validade;</w:t>
            </w:r>
          </w:p>
          <w:p w14:paraId="6ACBF747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Todos os equipamentos a serem entregues deverão ser idênticos, ou seja, todos os componentes externos e internos de mesmos modelos e marca conforme informados na Proposta Com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ercial. Caso o componente não mais se encontra disponível no mercado, admitem-se substitutos com qualidade e características idênticas ou superiores da mesma marca, mediante declaração técnica.</w:t>
            </w:r>
          </w:p>
          <w:p w14:paraId="2DDA5A80" w14:textId="77777777" w:rsidR="005C226E" w:rsidRDefault="00551DCB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</w:t>
            </w:r>
          </w:p>
        </w:tc>
      </w:tr>
      <w:tr w:rsidR="005C226E" w14:paraId="3E38EC4E" w14:textId="77777777">
        <w:tc>
          <w:tcPr>
            <w:tcW w:w="9912" w:type="dxa"/>
            <w:shd w:val="clear" w:color="auto" w:fill="A6A6A6"/>
          </w:tcPr>
          <w:p w14:paraId="112E7486" w14:textId="77777777" w:rsidR="005C226E" w:rsidRDefault="00551DCB">
            <w:pPr>
              <w:keepNext/>
              <w:numPr>
                <w:ilvl w:val="0"/>
                <w:numId w:val="5"/>
              </w:numPr>
              <w:shd w:val="clear" w:color="auto" w:fill="CCCCCC"/>
              <w:tabs>
                <w:tab w:val="left" w:pos="0"/>
              </w:tabs>
              <w:snapToGrid w:val="0"/>
              <w:spacing w:line="276" w:lineRule="auto"/>
              <w:ind w:left="0" w:firstLine="0"/>
              <w:jc w:val="both"/>
              <w:outlineLvl w:val="2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Garantia</w:t>
            </w:r>
          </w:p>
        </w:tc>
      </w:tr>
      <w:tr w:rsidR="005C226E" w14:paraId="39BAE0AC" w14:textId="77777777">
        <w:tc>
          <w:tcPr>
            <w:tcW w:w="9912" w:type="dxa"/>
            <w:shd w:val="clear" w:color="auto" w:fill="auto"/>
          </w:tcPr>
          <w:p w14:paraId="28CE4BF2" w14:textId="77777777" w:rsidR="005C226E" w:rsidRDefault="005C226E">
            <w:pPr>
              <w:spacing w:line="276" w:lineRule="auto"/>
              <w:ind w:left="432"/>
              <w:jc w:val="both"/>
              <w:rPr>
                <w:rFonts w:ascii="Century Gothic" w:hAnsi="Century Gothic" w:cs="Arial"/>
                <w:bCs/>
                <w:sz w:val="22"/>
                <w:szCs w:val="22"/>
              </w:rPr>
            </w:pPr>
          </w:p>
          <w:p w14:paraId="0D445411" w14:textId="77777777" w:rsidR="005C226E" w:rsidRDefault="00551DCB">
            <w:pPr>
              <w:numPr>
                <w:ilvl w:val="1"/>
                <w:numId w:val="5"/>
              </w:numPr>
              <w:suppressAutoHyphens w:val="0"/>
              <w:spacing w:line="276" w:lineRule="auto"/>
              <w:jc w:val="both"/>
              <w:rPr>
                <w:rFonts w:ascii="Century Gothic" w:hAnsi="Century Gothic" w:cs="Tahoma"/>
                <w:sz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60 meses;</w:t>
            </w:r>
          </w:p>
          <w:p w14:paraId="1159B8CA" w14:textId="77777777" w:rsidR="005C226E" w:rsidRDefault="00551DCB">
            <w:pPr>
              <w:pStyle w:val="PargrafodaLista"/>
              <w:numPr>
                <w:ilvl w:val="1"/>
                <w:numId w:val="5"/>
              </w:numPr>
              <w:suppressAutoHyphens w:val="0"/>
              <w:spacing w:line="276" w:lineRule="auto"/>
              <w:jc w:val="both"/>
              <w:rPr>
                <w:rFonts w:ascii="Century Gothic" w:hAnsi="Century Gothic" w:cs="Tahoma"/>
                <w:sz w:val="22"/>
              </w:rPr>
            </w:pPr>
            <w:r>
              <w:rPr>
                <w:rFonts w:ascii="Century Gothic" w:hAnsi="Century Gothic" w:cs="Tahoma"/>
                <w:sz w:val="22"/>
              </w:rPr>
              <w:t xml:space="preserve">O fabricante deverá fornecer </w:t>
            </w:r>
            <w:r>
              <w:rPr>
                <w:rFonts w:ascii="Century Gothic" w:hAnsi="Century Gothic" w:cs="Tahoma"/>
                <w:sz w:val="22"/>
              </w:rPr>
              <w:t>atualizações de firmware de forma gratuita por todo o período de garantia do equipamento;</w:t>
            </w:r>
          </w:p>
          <w:p w14:paraId="3A12E218" w14:textId="77777777" w:rsidR="005C226E" w:rsidRDefault="00551DCB">
            <w:pPr>
              <w:numPr>
                <w:ilvl w:val="1"/>
                <w:numId w:val="5"/>
              </w:numPr>
              <w:suppressAutoHyphens w:val="0"/>
              <w:spacing w:line="276" w:lineRule="auto"/>
              <w:jc w:val="both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O fabricante deverá disponibilizar central de contato para a solicitação do serviço de garantia via, no mínimo, site web e e-mail;</w:t>
            </w:r>
          </w:p>
          <w:p w14:paraId="01787BDA" w14:textId="77777777" w:rsidR="005C226E" w:rsidRDefault="00551DCB">
            <w:pPr>
              <w:numPr>
                <w:ilvl w:val="1"/>
                <w:numId w:val="5"/>
              </w:numPr>
              <w:suppressAutoHyphens w:val="0"/>
              <w:spacing w:line="276" w:lineRule="auto"/>
              <w:jc w:val="both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 Caso seja necessária a 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substituição de alguma peça ou equipamento, o mesmo deverá ser realizado no prazo máximo de 2 dias úteis após abertura do chamado.</w:t>
            </w:r>
          </w:p>
          <w:p w14:paraId="06341877" w14:textId="77777777" w:rsidR="005C226E" w:rsidRDefault="00551DCB">
            <w:pPr>
              <w:numPr>
                <w:ilvl w:val="1"/>
                <w:numId w:val="5"/>
              </w:numPr>
              <w:spacing w:line="276" w:lineRule="auto"/>
              <w:jc w:val="both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Ficará a cargo da CONTRATADA ou fabricante o envio do produto substituto e sua entrega em local definido pela CONTRATANTE, b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em como a remoção do equipamento afetado pela garantia prestada, trâmites e eventuais despesas de devolução dos mesmos ao fabricante. Esta remoção se dará em até 5 dias úteis a partir de disponibilizado o equipamento pela CONTRATANTE.</w:t>
            </w:r>
          </w:p>
          <w:p w14:paraId="179B3E8A" w14:textId="77777777" w:rsidR="005C226E" w:rsidRDefault="005C226E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514A0B52" w14:textId="77777777" w:rsidR="005C226E" w:rsidRDefault="005C226E">
      <w:pPr>
        <w:rPr>
          <w:rFonts w:ascii="Century Gothic" w:hAnsi="Century Gothic"/>
          <w:b/>
          <w:sz w:val="22"/>
        </w:rPr>
      </w:pPr>
    </w:p>
    <w:sectPr w:rsidR="005C226E">
      <w:headerReference w:type="default" r:id="rId8"/>
      <w:footerReference w:type="default" r:id="rId9"/>
      <w:pgSz w:w="11906" w:h="16838"/>
      <w:pgMar w:top="624" w:right="851" w:bottom="284" w:left="851" w:header="567" w:footer="84" w:gutter="0"/>
      <w:cols w:space="720"/>
      <w:formProt w:val="0"/>
      <w:docGrid w:linePitch="100" w:charSpace="1146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1AA31" w14:textId="77777777" w:rsidR="00000000" w:rsidRDefault="00551DCB">
      <w:r>
        <w:separator/>
      </w:r>
    </w:p>
  </w:endnote>
  <w:endnote w:type="continuationSeparator" w:id="0">
    <w:p w14:paraId="0D2D6D1D" w14:textId="77777777" w:rsidR="00000000" w:rsidRDefault="00551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 Mono">
    <w:altName w:val="Courier New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981F4" w14:textId="77777777" w:rsidR="005C226E" w:rsidRDefault="00551DCB">
    <w:pPr>
      <w:pStyle w:val="Rodap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89" behindDoc="1" locked="0" layoutInCell="1" allowOverlap="1" wp14:anchorId="2A812DE4" wp14:editId="38CA57AC">
              <wp:simplePos x="0" y="0"/>
              <wp:positionH relativeFrom="column">
                <wp:posOffset>133350</wp:posOffset>
              </wp:positionH>
              <wp:positionV relativeFrom="paragraph">
                <wp:posOffset>281940</wp:posOffset>
              </wp:positionV>
              <wp:extent cx="6497955" cy="34925"/>
              <wp:effectExtent l="0" t="0" r="19050" b="24130"/>
              <wp:wrapNone/>
              <wp:docPr id="10" name="Lin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7280" cy="21600"/>
                      </a:xfrm>
                      <a:prstGeom prst="line">
                        <a:avLst/>
                      </a:prstGeom>
                      <a:ln w="1908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0.5pt,22.2pt" to="522.05pt,23.85pt" ID="Line 7" stroked="f" style="position:absolute" wp14:anchorId="4F1FD8F2">
              <v:stroke color="#3465a4" weight="19080" joinstyle="round" endcap="flat"/>
              <v:fill o:detectmouseclick="t" on="false"/>
            </v:line>
          </w:pict>
        </mc:Fallback>
      </mc:AlternateContent>
    </w:r>
    <w:r>
      <w:t xml:space="preserve">Av. João Batista Parra, 465 - Enseada do </w:t>
    </w:r>
    <w:proofErr w:type="spellStart"/>
    <w:r>
      <w:t>Suá</w:t>
    </w:r>
    <w:proofErr w:type="spellEnd"/>
    <w:r>
      <w:t xml:space="preserve"> - CEP: 29050-925 - </w:t>
    </w:r>
    <w:proofErr w:type="spellStart"/>
    <w:r>
      <w:t>Vitória-ES</w:t>
    </w:r>
    <w:proofErr w:type="spellEnd"/>
    <w:r>
      <w:t xml:space="preserve"> - Tel.</w:t>
    </w:r>
    <w:r>
      <w:t>: (27)3224-5914 - Fax: (27) 3225-4499</w:t>
    </w:r>
  </w:p>
  <w:p w14:paraId="496B5C16" w14:textId="77777777" w:rsidR="005C226E" w:rsidRDefault="00551DCB">
    <w:pPr>
      <w:pStyle w:val="Rodap"/>
      <w:jc w:val="center"/>
    </w:pPr>
    <w:hyperlink r:id="rId1">
      <w:r>
        <w:rPr>
          <w:rStyle w:val="Hyperlink"/>
        </w:rPr>
        <w:t>www.prodest.es.gov.br</w:t>
      </w:r>
    </w:hyperlink>
  </w:p>
  <w:p w14:paraId="36B887F1" w14:textId="77777777" w:rsidR="005C226E" w:rsidRDefault="005C226E">
    <w:pPr>
      <w:pStyle w:val="Rodap"/>
      <w:rPr>
        <w:rFonts w:ascii="Arial" w:hAnsi="Arial"/>
        <w:b/>
        <w:sz w:val="12"/>
      </w:rPr>
    </w:pPr>
  </w:p>
  <w:p w14:paraId="6043FB1F" w14:textId="77777777" w:rsidR="005C226E" w:rsidRDefault="00551DCB">
    <w:pPr>
      <w:pStyle w:val="Rodap"/>
    </w:pPr>
    <w:r>
      <w:rPr>
        <w:rFonts w:ascii="Arial" w:hAnsi="Arial"/>
        <w:b/>
        <w:sz w:val="16"/>
      </w:rPr>
      <w:t xml:space="preserve">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29BF5" w14:textId="77777777" w:rsidR="00000000" w:rsidRDefault="00551DCB">
      <w:r>
        <w:separator/>
      </w:r>
    </w:p>
  </w:footnote>
  <w:footnote w:type="continuationSeparator" w:id="0">
    <w:p w14:paraId="166D7DC0" w14:textId="77777777" w:rsidR="00000000" w:rsidRDefault="00551D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F17B4" w14:textId="77777777" w:rsidR="005C226E" w:rsidRDefault="00551DCB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45" behindDoc="1" locked="0" layoutInCell="1" allowOverlap="1" wp14:anchorId="41E103E3" wp14:editId="705EE38B">
              <wp:simplePos x="0" y="0"/>
              <wp:positionH relativeFrom="column">
                <wp:posOffset>539750</wp:posOffset>
              </wp:positionH>
              <wp:positionV relativeFrom="paragraph">
                <wp:posOffset>99695</wp:posOffset>
              </wp:positionV>
              <wp:extent cx="4930775" cy="582295"/>
              <wp:effectExtent l="0" t="0" r="5080" b="0"/>
              <wp:wrapNone/>
              <wp:docPr id="6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930200" cy="581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5924524" w14:textId="77777777" w:rsidR="005C226E" w:rsidRDefault="00551DCB">
                          <w:pPr>
                            <w:pStyle w:val="FrameContents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 xml:space="preserve">Governo do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Estado do Espírito Santo</w:t>
                          </w:r>
                        </w:p>
                        <w:p w14:paraId="17733FE3" w14:textId="77777777" w:rsidR="005C226E" w:rsidRDefault="00551DCB">
                          <w:pPr>
                            <w:pStyle w:val="FrameContents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</w:rPr>
                            <w:t>Secretaria de Estado de Gestão e Recursos Humanos – SEGER</w:t>
                          </w:r>
                        </w:p>
                        <w:p w14:paraId="3B6697B8" w14:textId="77777777" w:rsidR="005C226E" w:rsidRDefault="00551DCB">
                          <w:pPr>
                            <w:pStyle w:val="FrameContents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</w:rPr>
                            <w:t xml:space="preserve">Instituto de Tecnologia da Informação e Comunicação do Estado do Espírito Santo </w:t>
                          </w:r>
                        </w:p>
                        <w:p w14:paraId="69D746C8" w14:textId="77777777" w:rsidR="005C226E" w:rsidRDefault="005C226E">
                          <w:pPr>
                            <w:pStyle w:val="FrameContents"/>
                            <w:rPr>
                              <w:rFonts w:ascii="Arial" w:hAnsi="Arial" w:cs="Arial"/>
                              <w:color w:val="000000"/>
                            </w:rPr>
                          </w:pPr>
                        </w:p>
                        <w:p w14:paraId="02C357CD" w14:textId="77777777" w:rsidR="005C226E" w:rsidRDefault="005C226E">
                          <w:pPr>
                            <w:pStyle w:val="FrameContents"/>
                            <w:jc w:val="center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3" fillcolor="white" stroked="f" style="position:absolute;margin-left:42.5pt;margin-top:7.85pt;width:388.15pt;height:45.75pt" wp14:anchorId="5E7D3471">
              <w10:wrap type="square"/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FrameContents"/>
                      <w:rPr>
                        <w:rFonts w:ascii="Arial" w:hAnsi="Arial" w:cs="Arial"/>
                        <w:b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cs="Arial" w:ascii="Arial" w:hAnsi="Arial"/>
                        <w:b/>
                        <w:bCs/>
                        <w:color w:val="000000"/>
                        <w:sz w:val="24"/>
                        <w:szCs w:val="24"/>
                      </w:rPr>
                      <w:t>Governo do Estado do Espírito Santo</w:t>
                    </w:r>
                  </w:p>
                  <w:p>
                    <w:pPr>
                      <w:pStyle w:val="FrameContents"/>
                      <w:rPr>
                        <w:rFonts w:ascii="Arial" w:hAnsi="Arial" w:cs="Arial"/>
                      </w:rPr>
                    </w:pPr>
                    <w:r>
                      <w:rPr>
                        <w:rFonts w:cs="Arial" w:ascii="Arial" w:hAnsi="Arial"/>
                        <w:color w:val="000000"/>
                      </w:rPr>
                      <w:t>Secretaria de Estado de Gestão e Recursos Humanos – SEGER</w:t>
                    </w:r>
                  </w:p>
                  <w:p>
                    <w:pPr>
                      <w:pStyle w:val="FrameContents"/>
                      <w:rPr>
                        <w:rFonts w:ascii="Arial" w:hAnsi="Arial" w:cs="Arial"/>
                      </w:rPr>
                    </w:pPr>
                    <w:r>
                      <w:rPr>
                        <w:rFonts w:cs="Arial" w:ascii="Arial" w:hAnsi="Arial"/>
                        <w:color w:val="000000"/>
                      </w:rPr>
                      <w:t xml:space="preserve">Instituto de Tecnologia da Informação e Comunicação do Estado do Espírito Santo </w:t>
                    </w:r>
                  </w:p>
                  <w:p>
                    <w:pPr>
                      <w:pStyle w:val="FrameContents"/>
                      <w:rPr>
                        <w:rFonts w:ascii="Arial" w:hAnsi="Arial" w:cs="Arial"/>
                        <w:color w:val="000000"/>
                      </w:rPr>
                    </w:pPr>
                    <w:r>
                      <w:rPr>
                        <w:rFonts w:cs="Arial" w:ascii="Arial" w:hAnsi="Arial"/>
                        <w:color w:val="000000"/>
                      </w:rPr>
                    </w:r>
                  </w:p>
                  <w:p>
                    <w:pPr>
                      <w:pStyle w:val="FrameContents"/>
                      <w:jc w:val="cent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0" distR="0" simplePos="0" relativeHeight="133" behindDoc="1" locked="0" layoutInCell="1" allowOverlap="1" wp14:anchorId="034C41A9" wp14:editId="1F7FB51B">
          <wp:simplePos x="0" y="0"/>
          <wp:positionH relativeFrom="column">
            <wp:posOffset>-8890</wp:posOffset>
          </wp:positionH>
          <wp:positionV relativeFrom="paragraph">
            <wp:posOffset>-9525</wp:posOffset>
          </wp:positionV>
          <wp:extent cx="548640" cy="680720"/>
          <wp:effectExtent l="0" t="0" r="0" b="0"/>
          <wp:wrapNone/>
          <wp:docPr id="8" name="Image1" descr="brasao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" descr="brasaoes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680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177" behindDoc="1" locked="0" layoutInCell="1" allowOverlap="1" wp14:anchorId="015395F2" wp14:editId="7EAC13D1">
          <wp:simplePos x="0" y="0"/>
          <wp:positionH relativeFrom="column">
            <wp:posOffset>5273675</wp:posOffset>
          </wp:positionH>
          <wp:positionV relativeFrom="paragraph">
            <wp:posOffset>-14605</wp:posOffset>
          </wp:positionV>
          <wp:extent cx="1209675" cy="571500"/>
          <wp:effectExtent l="0" t="0" r="0" b="0"/>
          <wp:wrapNone/>
          <wp:docPr id="9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1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13D1EDE" w14:textId="77777777" w:rsidR="005C226E" w:rsidRDefault="005C226E">
    <w:pPr>
      <w:pStyle w:val="Cabealho"/>
    </w:pPr>
  </w:p>
  <w:p w14:paraId="30D6199E" w14:textId="77777777" w:rsidR="005C226E" w:rsidRDefault="005C226E">
    <w:pPr>
      <w:pStyle w:val="Cabealho"/>
    </w:pPr>
  </w:p>
  <w:p w14:paraId="20A19C9D" w14:textId="77777777" w:rsidR="005C226E" w:rsidRDefault="005C226E">
    <w:pPr>
      <w:pStyle w:val="Cabealho"/>
    </w:pPr>
  </w:p>
  <w:p w14:paraId="7302012F" w14:textId="77777777" w:rsidR="005C226E" w:rsidRDefault="005C226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75BD8"/>
    <w:multiLevelType w:val="multilevel"/>
    <w:tmpl w:val="5E9846A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21E5B46"/>
    <w:multiLevelType w:val="multilevel"/>
    <w:tmpl w:val="9FA4DDB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2314832"/>
    <w:multiLevelType w:val="multilevel"/>
    <w:tmpl w:val="C5BA1A42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3" w15:restartNumberingAfterBreak="0">
    <w:nsid w:val="02564CF1"/>
    <w:multiLevelType w:val="multilevel"/>
    <w:tmpl w:val="DDFE075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06E06F13"/>
    <w:multiLevelType w:val="multilevel"/>
    <w:tmpl w:val="D7DA62F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06EC4DD3"/>
    <w:multiLevelType w:val="multilevel"/>
    <w:tmpl w:val="BE1E2F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B55700A"/>
    <w:multiLevelType w:val="multilevel"/>
    <w:tmpl w:val="EE92EF9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D505E2E"/>
    <w:multiLevelType w:val="multilevel"/>
    <w:tmpl w:val="B2281FD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1504664B"/>
    <w:multiLevelType w:val="multilevel"/>
    <w:tmpl w:val="28A0EF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1AC53AD9"/>
    <w:multiLevelType w:val="multilevel"/>
    <w:tmpl w:val="C02871F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1BD26F93"/>
    <w:multiLevelType w:val="multilevel"/>
    <w:tmpl w:val="4F584D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1F250BF2"/>
    <w:multiLevelType w:val="multilevel"/>
    <w:tmpl w:val="0DC6B7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bullet"/>
      <w:pStyle w:val="Ttulo5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1FEB3CB8"/>
    <w:multiLevelType w:val="multilevel"/>
    <w:tmpl w:val="4D6A3E64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color w:val="auto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207550A3"/>
    <w:multiLevelType w:val="multilevel"/>
    <w:tmpl w:val="7A9C45D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22C06334"/>
    <w:multiLevelType w:val="multilevel"/>
    <w:tmpl w:val="0E7AE06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23E303DB"/>
    <w:multiLevelType w:val="multilevel"/>
    <w:tmpl w:val="29EC921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851"/>
      </w:pPr>
      <w:rPr>
        <w:rFonts w:ascii="Symbol" w:hAnsi="Symbol" w:cs="Symbol"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16" w15:restartNumberingAfterBreak="0">
    <w:nsid w:val="25112ED2"/>
    <w:multiLevelType w:val="multilevel"/>
    <w:tmpl w:val="D640DCB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7" w15:restartNumberingAfterBreak="0">
    <w:nsid w:val="28353C48"/>
    <w:multiLevelType w:val="multilevel"/>
    <w:tmpl w:val="ADFE553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8" w15:restartNumberingAfterBreak="0">
    <w:nsid w:val="2E496D1D"/>
    <w:multiLevelType w:val="multilevel"/>
    <w:tmpl w:val="A4E2EF2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9" w15:restartNumberingAfterBreak="0">
    <w:nsid w:val="3A30075D"/>
    <w:multiLevelType w:val="multilevel"/>
    <w:tmpl w:val="64F8E4D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3B1020B0"/>
    <w:multiLevelType w:val="multilevel"/>
    <w:tmpl w:val="79ECD5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1" w15:restartNumberingAfterBreak="0">
    <w:nsid w:val="3F141ECD"/>
    <w:multiLevelType w:val="multilevel"/>
    <w:tmpl w:val="AB5A0A8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2" w15:restartNumberingAfterBreak="0">
    <w:nsid w:val="408F6C09"/>
    <w:multiLevelType w:val="multilevel"/>
    <w:tmpl w:val="BCB608A2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1" w:hanging="851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851" w:hanging="851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b/>
      </w:rPr>
    </w:lvl>
  </w:abstractNum>
  <w:abstractNum w:abstractNumId="23" w15:restartNumberingAfterBreak="0">
    <w:nsid w:val="43541D8D"/>
    <w:multiLevelType w:val="multilevel"/>
    <w:tmpl w:val="AEDEEA3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4" w15:restartNumberingAfterBreak="0">
    <w:nsid w:val="49AA4986"/>
    <w:multiLevelType w:val="multilevel"/>
    <w:tmpl w:val="B6EACB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4A9F0553"/>
    <w:multiLevelType w:val="multilevel"/>
    <w:tmpl w:val="00F2878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CB62767"/>
    <w:multiLevelType w:val="multilevel"/>
    <w:tmpl w:val="BBB8317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4205A44"/>
    <w:multiLevelType w:val="multilevel"/>
    <w:tmpl w:val="69A07C7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8" w15:restartNumberingAfterBreak="0">
    <w:nsid w:val="6507111A"/>
    <w:multiLevelType w:val="multilevel"/>
    <w:tmpl w:val="7036250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9" w15:restartNumberingAfterBreak="0">
    <w:nsid w:val="65AE01D4"/>
    <w:multiLevelType w:val="multilevel"/>
    <w:tmpl w:val="BD8C14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0" w15:restartNumberingAfterBreak="0">
    <w:nsid w:val="67BF6864"/>
    <w:multiLevelType w:val="multilevel"/>
    <w:tmpl w:val="273EBB2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1" w15:restartNumberingAfterBreak="0">
    <w:nsid w:val="6C22198D"/>
    <w:multiLevelType w:val="multilevel"/>
    <w:tmpl w:val="F572B6B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2" w15:restartNumberingAfterBreak="0">
    <w:nsid w:val="6C967658"/>
    <w:multiLevelType w:val="multilevel"/>
    <w:tmpl w:val="CDF234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 w15:restartNumberingAfterBreak="0">
    <w:nsid w:val="6FB83806"/>
    <w:multiLevelType w:val="multilevel"/>
    <w:tmpl w:val="EFD21216"/>
    <w:lvl w:ilvl="0">
      <w:start w:val="4"/>
      <w:numFmt w:val="decimal"/>
      <w:lvlText w:val="%1."/>
      <w:lvlJc w:val="left"/>
      <w:pPr>
        <w:tabs>
          <w:tab w:val="num" w:pos="851"/>
        </w:tabs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34" w15:restartNumberingAfterBreak="0">
    <w:nsid w:val="70316875"/>
    <w:multiLevelType w:val="multilevel"/>
    <w:tmpl w:val="2E3E4B2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</w:abstractNum>
  <w:abstractNum w:abstractNumId="35" w15:restartNumberingAfterBreak="0">
    <w:nsid w:val="73CC3228"/>
    <w:multiLevelType w:val="multilevel"/>
    <w:tmpl w:val="E964549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6" w15:restartNumberingAfterBreak="0">
    <w:nsid w:val="77EC6CCF"/>
    <w:multiLevelType w:val="multilevel"/>
    <w:tmpl w:val="1650819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11"/>
  </w:num>
  <w:num w:numId="2">
    <w:abstractNumId w:val="2"/>
  </w:num>
  <w:num w:numId="3">
    <w:abstractNumId w:val="30"/>
  </w:num>
  <w:num w:numId="4">
    <w:abstractNumId w:val="0"/>
  </w:num>
  <w:num w:numId="5">
    <w:abstractNumId w:val="16"/>
  </w:num>
  <w:num w:numId="6">
    <w:abstractNumId w:val="24"/>
  </w:num>
  <w:num w:numId="7">
    <w:abstractNumId w:val="7"/>
  </w:num>
  <w:num w:numId="8">
    <w:abstractNumId w:val="5"/>
  </w:num>
  <w:num w:numId="9">
    <w:abstractNumId w:val="29"/>
  </w:num>
  <w:num w:numId="10">
    <w:abstractNumId w:val="32"/>
  </w:num>
  <w:num w:numId="11">
    <w:abstractNumId w:val="22"/>
  </w:num>
  <w:num w:numId="12">
    <w:abstractNumId w:val="26"/>
  </w:num>
  <w:num w:numId="13">
    <w:abstractNumId w:val="25"/>
  </w:num>
  <w:num w:numId="14">
    <w:abstractNumId w:val="15"/>
  </w:num>
  <w:num w:numId="15">
    <w:abstractNumId w:val="33"/>
  </w:num>
  <w:num w:numId="16">
    <w:abstractNumId w:val="17"/>
  </w:num>
  <w:num w:numId="17">
    <w:abstractNumId w:val="31"/>
  </w:num>
  <w:num w:numId="18">
    <w:abstractNumId w:val="9"/>
  </w:num>
  <w:num w:numId="19">
    <w:abstractNumId w:val="13"/>
  </w:num>
  <w:num w:numId="20">
    <w:abstractNumId w:val="20"/>
  </w:num>
  <w:num w:numId="21">
    <w:abstractNumId w:val="36"/>
  </w:num>
  <w:num w:numId="22">
    <w:abstractNumId w:val="3"/>
  </w:num>
  <w:num w:numId="23">
    <w:abstractNumId w:val="28"/>
  </w:num>
  <w:num w:numId="24">
    <w:abstractNumId w:val="19"/>
  </w:num>
  <w:num w:numId="25">
    <w:abstractNumId w:val="35"/>
  </w:num>
  <w:num w:numId="26">
    <w:abstractNumId w:val="18"/>
  </w:num>
  <w:num w:numId="27">
    <w:abstractNumId w:val="1"/>
  </w:num>
  <w:num w:numId="28">
    <w:abstractNumId w:val="8"/>
  </w:num>
  <w:num w:numId="29">
    <w:abstractNumId w:val="10"/>
  </w:num>
  <w:num w:numId="30">
    <w:abstractNumId w:val="14"/>
  </w:num>
  <w:num w:numId="31">
    <w:abstractNumId w:val="27"/>
  </w:num>
  <w:num w:numId="32">
    <w:abstractNumId w:val="23"/>
  </w:num>
  <w:num w:numId="33">
    <w:abstractNumId w:val="12"/>
  </w:num>
  <w:num w:numId="34">
    <w:abstractNumId w:val="4"/>
  </w:num>
  <w:num w:numId="35">
    <w:abstractNumId w:val="21"/>
  </w:num>
  <w:num w:numId="36">
    <w:abstractNumId w:val="34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26E"/>
    <w:rsid w:val="002301D0"/>
    <w:rsid w:val="00551DCB"/>
    <w:rsid w:val="005C2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72B70"/>
  <w15:docId w15:val="{85722B2C-9FA0-424F-94D1-5D65FC63B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023A"/>
    <w:rPr>
      <w:color w:val="00000A"/>
    </w:rPr>
  </w:style>
  <w:style w:type="paragraph" w:styleId="Ttulo5">
    <w:name w:val="heading 5"/>
    <w:basedOn w:val="Normal"/>
    <w:next w:val="Normal"/>
    <w:link w:val="Ttulo5Char"/>
    <w:qFormat/>
    <w:rsid w:val="000A6C15"/>
    <w:pPr>
      <w:keepNext/>
      <w:numPr>
        <w:ilvl w:val="4"/>
        <w:numId w:val="1"/>
      </w:numPr>
      <w:outlineLvl w:val="4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nhideWhenUsed/>
    <w:rsid w:val="00232E53"/>
    <w:rPr>
      <w:color w:val="0563C1" w:themeColor="hyperlink"/>
      <w:u w:val="single"/>
    </w:rPr>
  </w:style>
  <w:style w:type="character" w:styleId="Refdecomentrio">
    <w:name w:val="annotation reference"/>
    <w:basedOn w:val="Fontepargpadro"/>
    <w:semiHidden/>
    <w:unhideWhenUsed/>
    <w:qFormat/>
    <w:rsid w:val="009A2A73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semiHidden/>
    <w:qFormat/>
    <w:rsid w:val="009A2A73"/>
  </w:style>
  <w:style w:type="character" w:customStyle="1" w:styleId="AssuntodocomentrioChar">
    <w:name w:val="Assunto do comentário Char"/>
    <w:basedOn w:val="TextodecomentrioChar"/>
    <w:link w:val="Assuntodocomentrio"/>
    <w:semiHidden/>
    <w:qFormat/>
    <w:rsid w:val="009A2A73"/>
    <w:rPr>
      <w:b/>
      <w:bCs/>
    </w:rPr>
  </w:style>
  <w:style w:type="character" w:customStyle="1" w:styleId="TextodebaloChar">
    <w:name w:val="Texto de balão Char"/>
    <w:basedOn w:val="Fontepargpadro"/>
    <w:link w:val="Textodebalo"/>
    <w:semiHidden/>
    <w:qFormat/>
    <w:rsid w:val="009A2A73"/>
    <w:rPr>
      <w:rFonts w:ascii="Tahoma" w:hAnsi="Tahoma" w:cs="Tahoma"/>
      <w:sz w:val="16"/>
      <w:szCs w:val="16"/>
    </w:rPr>
  </w:style>
  <w:style w:type="character" w:customStyle="1" w:styleId="PargrafoNormalChar">
    <w:name w:val="Parágrafo Normal Char"/>
    <w:link w:val="PargrafoNormal"/>
    <w:uiPriority w:val="99"/>
    <w:qFormat/>
    <w:rsid w:val="001A69D2"/>
    <w:rPr>
      <w:sz w:val="24"/>
      <w:szCs w:val="24"/>
    </w:rPr>
  </w:style>
  <w:style w:type="character" w:customStyle="1" w:styleId="NumberingSymbols">
    <w:name w:val="Numbering Symbols"/>
    <w:qFormat/>
    <w:rPr>
      <w:rFonts w:ascii="Century Gothic" w:hAnsi="Century Gothic"/>
      <w:b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vanish w:val="0"/>
      <w:spacing w:val="0"/>
      <w:kern w:val="0"/>
      <w:position w:val="0"/>
      <w:sz w:val="24"/>
      <w:u w:val="none"/>
      <w:effect w:val="none"/>
      <w:vertAlign w:val="baseline"/>
      <w:em w:val="none"/>
    </w:rPr>
  </w:style>
  <w:style w:type="character" w:customStyle="1" w:styleId="Ttulo5Char">
    <w:name w:val="Título 5 Char"/>
    <w:basedOn w:val="Fontepargpadro"/>
    <w:link w:val="Ttulo5"/>
    <w:qFormat/>
    <w:rsid w:val="000A6C15"/>
    <w:rPr>
      <w:b/>
      <w:color w:val="00000A"/>
      <w:sz w:val="24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91965"/>
    <w:rPr>
      <w:color w:val="00000A"/>
    </w:rPr>
  </w:style>
  <w:style w:type="character" w:customStyle="1" w:styleId="Nvel1-TextoChar">
    <w:name w:val="Nível 1 - Texto Char"/>
    <w:basedOn w:val="Fontepargpadro"/>
    <w:qFormat/>
    <w:rsid w:val="00891965"/>
    <w:rPr>
      <w:rFonts w:ascii="Century Gothic" w:eastAsiaTheme="minorHAnsi" w:hAnsi="Century Gothic" w:cstheme="minorBidi"/>
      <w:sz w:val="22"/>
      <w:szCs w:val="22"/>
      <w:lang w:eastAsia="en-US"/>
    </w:rPr>
  </w:style>
  <w:style w:type="character" w:customStyle="1" w:styleId="PargrafodaListaChar">
    <w:name w:val="Parágrafo da Lista Char"/>
    <w:link w:val="PargrafodaLista"/>
    <w:uiPriority w:val="34"/>
    <w:qFormat/>
    <w:locked/>
    <w:rsid w:val="0067043F"/>
    <w:rPr>
      <w:color w:val="00000A"/>
    </w:rPr>
  </w:style>
  <w:style w:type="character" w:styleId="nfase">
    <w:name w:val="Emphasis"/>
    <w:qFormat/>
    <w:rPr>
      <w:i/>
      <w:iCs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rsid w:val="00087EFD"/>
    <w:pPr>
      <w:ind w:firstLine="1416"/>
      <w:jc w:val="both"/>
    </w:pPr>
    <w:rPr>
      <w:rFonts w:ascii="Arial" w:hAnsi="Arial"/>
      <w:sz w:val="22"/>
    </w:rPr>
  </w:style>
  <w:style w:type="paragraph" w:styleId="Textodecomentrio">
    <w:name w:val="annotation text"/>
    <w:basedOn w:val="Normal"/>
    <w:link w:val="TextodecomentrioChar"/>
    <w:semiHidden/>
    <w:unhideWhenUsed/>
    <w:qFormat/>
    <w:rsid w:val="009A2A73"/>
  </w:style>
  <w:style w:type="paragraph" w:styleId="Assuntodocomentrio">
    <w:name w:val="annotation subject"/>
    <w:basedOn w:val="Textodecomentrio"/>
    <w:link w:val="AssuntodocomentrioChar"/>
    <w:semiHidden/>
    <w:unhideWhenUsed/>
    <w:qFormat/>
    <w:rsid w:val="009A2A73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qFormat/>
    <w:rsid w:val="009A2A73"/>
    <w:rPr>
      <w:rFonts w:ascii="Tahoma" w:hAnsi="Tahoma" w:cs="Tahoma"/>
      <w:sz w:val="16"/>
      <w:szCs w:val="16"/>
    </w:rPr>
  </w:style>
  <w:style w:type="paragraph" w:customStyle="1" w:styleId="Edital-Nvel1">
    <w:name w:val="Edital - Nível 1"/>
    <w:basedOn w:val="Normal"/>
    <w:qFormat/>
    <w:rsid w:val="00F33E2D"/>
    <w:pPr>
      <w:jc w:val="both"/>
    </w:pPr>
    <w:rPr>
      <w:rFonts w:ascii="Arial Narrow" w:hAnsi="Arial Narrow"/>
      <w:b/>
      <w:caps/>
      <w:sz w:val="22"/>
    </w:rPr>
  </w:style>
  <w:style w:type="paragraph" w:customStyle="1" w:styleId="Edital-Nvel2">
    <w:name w:val="Edital - Nível 2"/>
    <w:basedOn w:val="Normal"/>
    <w:qFormat/>
    <w:rsid w:val="00E33133"/>
    <w:pPr>
      <w:jc w:val="both"/>
    </w:pPr>
    <w:rPr>
      <w:rFonts w:ascii="Century Gothic" w:eastAsia="Batang" w:hAnsi="Century Gothic"/>
      <w:sz w:val="22"/>
      <w:szCs w:val="22"/>
    </w:rPr>
  </w:style>
  <w:style w:type="paragraph" w:customStyle="1" w:styleId="Edital-Nvel3">
    <w:name w:val="Edital - Nível 3"/>
    <w:basedOn w:val="Edital-Nvel2"/>
    <w:qFormat/>
    <w:rsid w:val="00F33E2D"/>
  </w:style>
  <w:style w:type="paragraph" w:customStyle="1" w:styleId="Edital-Nvel4">
    <w:name w:val="Edital - Nível 4"/>
    <w:basedOn w:val="Edital-Nvel3"/>
    <w:qFormat/>
    <w:rsid w:val="00F33E2D"/>
    <w:pPr>
      <w:tabs>
        <w:tab w:val="left" w:pos="1134"/>
      </w:tabs>
    </w:pPr>
  </w:style>
  <w:style w:type="paragraph" w:customStyle="1" w:styleId="Edital-Nvel5">
    <w:name w:val="Edital - Nível 5"/>
    <w:basedOn w:val="Edital-Nvel4"/>
    <w:next w:val="Normal"/>
    <w:qFormat/>
    <w:rsid w:val="00F33E2D"/>
  </w:style>
  <w:style w:type="paragraph" w:styleId="PargrafodaLista">
    <w:name w:val="List Paragraph"/>
    <w:basedOn w:val="Normal"/>
    <w:link w:val="PargrafodaListaChar"/>
    <w:uiPriority w:val="34"/>
    <w:qFormat/>
    <w:rsid w:val="007D14CB"/>
    <w:pPr>
      <w:ind w:left="708"/>
    </w:pPr>
  </w:style>
  <w:style w:type="paragraph" w:customStyle="1" w:styleId="Edital-Semnmero">
    <w:name w:val="Edital - Sem número"/>
    <w:basedOn w:val="Normal"/>
    <w:next w:val="Normal"/>
    <w:uiPriority w:val="99"/>
    <w:qFormat/>
    <w:rsid w:val="00B911FA"/>
    <w:rPr>
      <w:rFonts w:ascii="Arial" w:eastAsia="Batang" w:hAnsi="Arial"/>
      <w:sz w:val="22"/>
    </w:rPr>
  </w:style>
  <w:style w:type="paragraph" w:customStyle="1" w:styleId="Corpo">
    <w:name w:val="Corpo"/>
    <w:uiPriority w:val="99"/>
    <w:qFormat/>
    <w:rsid w:val="001A69D2"/>
    <w:rPr>
      <w:color w:val="000000"/>
      <w:sz w:val="24"/>
      <w:szCs w:val="24"/>
    </w:rPr>
  </w:style>
  <w:style w:type="paragraph" w:customStyle="1" w:styleId="PargrafoNormal">
    <w:name w:val="Parágrafo Normal"/>
    <w:basedOn w:val="Normal"/>
    <w:link w:val="PargrafoNormalChar"/>
    <w:uiPriority w:val="99"/>
    <w:qFormat/>
    <w:rsid w:val="001A69D2"/>
    <w:pPr>
      <w:spacing w:after="120"/>
      <w:jc w:val="both"/>
    </w:pPr>
    <w:rPr>
      <w:sz w:val="24"/>
      <w:szCs w:val="24"/>
    </w:rPr>
  </w:style>
  <w:style w:type="paragraph" w:customStyle="1" w:styleId="ListParagraph1">
    <w:name w:val="List Paragraph1"/>
    <w:basedOn w:val="Normal"/>
    <w:uiPriority w:val="99"/>
    <w:qFormat/>
    <w:rsid w:val="001A69D2"/>
    <w:pPr>
      <w:ind w:left="708"/>
    </w:pPr>
  </w:style>
  <w:style w:type="paragraph" w:customStyle="1" w:styleId="FrameContents">
    <w:name w:val="Frame Contents"/>
    <w:basedOn w:val="Normal"/>
    <w:qFormat/>
  </w:style>
  <w:style w:type="paragraph" w:customStyle="1" w:styleId="PreformattedText">
    <w:name w:val="Preformatted Text"/>
    <w:basedOn w:val="Normal"/>
    <w:qFormat/>
    <w:rPr>
      <w:rFonts w:ascii="Liberation Mono" w:eastAsia="Courier New" w:hAnsi="Liberation Mono" w:cs="Liberation Mono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Nvel1-Texto">
    <w:name w:val="Nível 1 - Texto"/>
    <w:basedOn w:val="Normal"/>
    <w:qFormat/>
    <w:rsid w:val="00891965"/>
    <w:pPr>
      <w:suppressAutoHyphens w:val="0"/>
      <w:spacing w:before="120" w:after="240" w:line="276" w:lineRule="auto"/>
      <w:jc w:val="both"/>
    </w:pPr>
    <w:rPr>
      <w:rFonts w:ascii="Century Gothic" w:eastAsiaTheme="minorHAnsi" w:hAnsi="Century Gothic" w:cstheme="minorBidi"/>
      <w:color w:val="auto"/>
      <w:sz w:val="22"/>
      <w:szCs w:val="22"/>
      <w:lang w:eastAsia="en-US"/>
    </w:rPr>
  </w:style>
  <w:style w:type="paragraph" w:customStyle="1" w:styleId="nabc">
    <w:name w:val="nabc"/>
    <w:basedOn w:val="Normal"/>
    <w:qFormat/>
    <w:rsid w:val="00D91473"/>
    <w:pPr>
      <w:suppressAutoHyphens w:val="0"/>
      <w:spacing w:beforeAutospacing="1" w:afterAutospacing="1"/>
    </w:pPr>
    <w:rPr>
      <w:rFonts w:eastAsiaTheme="minorHAnsi"/>
      <w:color w:val="auto"/>
      <w:sz w:val="24"/>
      <w:szCs w:val="24"/>
    </w:rPr>
  </w:style>
  <w:style w:type="table" w:styleId="Tabelacomgrade">
    <w:name w:val="Table Grid"/>
    <w:basedOn w:val="Tabelanormal"/>
    <w:uiPriority w:val="39"/>
    <w:rsid w:val="00087E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dest.es.gov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96051-4227-4CDD-AB6F-ECD672848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947</Words>
  <Characters>5120</Characters>
  <Application>Microsoft Office Word</Application>
  <DocSecurity>0</DocSecurity>
  <Lines>42</Lines>
  <Paragraphs>12</Paragraphs>
  <ScaleCrop>false</ScaleCrop>
  <Company>PRODEST</Company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P00290</dc:title>
  <dc:subject>PAPEL TIMBRADO</dc:subject>
  <dc:creator>gustavo.teixeira</dc:creator>
  <dc:description/>
  <cp:lastModifiedBy>Gustavo Castro Teixeira</cp:lastModifiedBy>
  <cp:revision>3</cp:revision>
  <cp:lastPrinted>2020-08-11T19:07:00Z</cp:lastPrinted>
  <dcterms:created xsi:type="dcterms:W3CDTF">2022-04-04T12:22:00Z</dcterms:created>
  <dcterms:modified xsi:type="dcterms:W3CDTF">2022-04-04T12:23:00Z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PRODEST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Manager">
    <vt:lpwstr>GTPRO</vt:lpwstr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