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B0A9" w14:textId="32EC8895" w:rsidR="00ED36D3" w:rsidRDefault="00CA7965" w:rsidP="00CA7965">
      <w:pPr>
        <w:jc w:val="center"/>
      </w:pPr>
      <w:r w:rsidRPr="00CA7965">
        <w:rPr>
          <w:rFonts w:ascii="Century Gothic" w:hAnsi="Century Gothic"/>
          <w:b/>
          <w:sz w:val="22"/>
        </w:rPr>
        <w:t xml:space="preserve">Switch de Acesso 24P </w:t>
      </w:r>
      <w:proofErr w:type="spellStart"/>
      <w:r w:rsidRPr="00CA7965">
        <w:rPr>
          <w:rFonts w:ascii="Century Gothic" w:hAnsi="Century Gothic"/>
          <w:b/>
          <w:sz w:val="22"/>
        </w:rPr>
        <w:t>PoE</w:t>
      </w:r>
      <w:proofErr w:type="spellEnd"/>
      <w:r w:rsidRPr="00CA7965">
        <w:rPr>
          <w:rFonts w:ascii="Century Gothic" w:hAnsi="Century Gothic"/>
          <w:b/>
          <w:sz w:val="22"/>
        </w:rPr>
        <w:t xml:space="preserve"> 2SFP</w:t>
      </w:r>
    </w:p>
    <w:p w14:paraId="371A18F7" w14:textId="77777777" w:rsidR="00ED36D3" w:rsidRDefault="00CA7965">
      <w:pPr>
        <w:spacing w:line="276" w:lineRule="auto"/>
        <w:rPr>
          <w:rFonts w:ascii="Century Gothic" w:hAnsi="Century Gothic" w:cs="Tahoma"/>
          <w:szCs w:val="22"/>
        </w:rPr>
      </w:pPr>
      <w:r>
        <w:rPr>
          <w:rFonts w:ascii="Century Gothic" w:hAnsi="Century Gothic" w:cs="Tahoma"/>
          <w:szCs w:val="22"/>
        </w:rPr>
        <w:t xml:space="preserve"> </w:t>
      </w:r>
    </w:p>
    <w:tbl>
      <w:tblPr>
        <w:tblStyle w:val="Tabelacomgrade"/>
        <w:tblW w:w="9945" w:type="dxa"/>
        <w:tblInd w:w="-33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33"/>
        <w:gridCol w:w="9879"/>
        <w:gridCol w:w="33"/>
      </w:tblGrid>
      <w:tr w:rsidR="00ED36D3" w14:paraId="7CFCD236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808080"/>
          </w:tcPr>
          <w:p w14:paraId="7F3C7FD6" w14:textId="77777777" w:rsidR="00ED36D3" w:rsidRDefault="00CA7965">
            <w:pPr>
              <w:keepNext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Switch de Acesso com</w:t>
            </w:r>
            <w:r>
              <w:rPr>
                <w:rFonts w:ascii="Century Gothic" w:eastAsia="Arial" w:hAnsi="Century Gothic" w:cs="Arial"/>
                <w:b/>
                <w:bCs/>
                <w:sz w:val="22"/>
                <w:szCs w:val="22"/>
              </w:rPr>
              <w:t xml:space="preserve"> 24 </w:t>
            </w:r>
            <w:proofErr w:type="gramStart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Portas  </w:t>
            </w:r>
            <w:proofErr w:type="spellStart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PoE</w:t>
            </w:r>
            <w:proofErr w:type="spellEnd"/>
            <w:proofErr w:type="gramEnd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2SFP</w:t>
            </w:r>
          </w:p>
          <w:p w14:paraId="4F013937" w14:textId="4AE36B9D" w:rsidR="00ED36D3" w:rsidRDefault="00ED36D3">
            <w:pPr>
              <w:keepNext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0A04300A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6A6A6"/>
          </w:tcPr>
          <w:p w14:paraId="0A195CA7" w14:textId="77777777" w:rsidR="00ED36D3" w:rsidRDefault="00CA7965">
            <w:pPr>
              <w:numPr>
                <w:ilvl w:val="0"/>
                <w:numId w:val="16"/>
              </w:num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Características Gerais</w:t>
            </w:r>
          </w:p>
        </w:tc>
      </w:tr>
      <w:tr w:rsidR="00ED36D3" w14:paraId="25E73D17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DB39A0A" w14:textId="77777777" w:rsidR="00ED36D3" w:rsidRDefault="00CA7965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4E296A7E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Gabinete para instalação em rack de 19”;</w:t>
            </w:r>
          </w:p>
        </w:tc>
      </w:tr>
      <w:tr w:rsidR="00ED36D3" w14:paraId="5616F0E8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31F629D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Possuir LEDs para a indicação do status das portas e atividade;</w:t>
            </w:r>
          </w:p>
        </w:tc>
      </w:tr>
      <w:tr w:rsidR="00ED36D3" w14:paraId="27A1E34B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924E63F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equipamento deverá ser capaz de comutar 52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Gbps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; </w:t>
            </w:r>
          </w:p>
        </w:tc>
      </w:tr>
      <w:tr w:rsidR="00ED36D3" w14:paraId="37FDF3D3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8997703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Possuir capacidade mínima de encaminhamento,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Forwarding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Rate, de 40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Mpps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02775B80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52192203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247FB395" w14:textId="77777777" w:rsidR="00ED36D3" w:rsidRDefault="00CA7965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Portas</w:t>
            </w:r>
          </w:p>
        </w:tc>
      </w:tr>
      <w:tr w:rsidR="00ED36D3" w14:paraId="2CA8CD63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93AA07D" w14:textId="77777777" w:rsidR="00ED36D3" w:rsidRDefault="00ED36D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492B9541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24 Portas 10/100/1000BASE-T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auto-sensing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809C125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>2 Slots SFP compatíveis com padrão 1000Base-X</w:t>
            </w:r>
          </w:p>
          <w:p w14:paraId="19437CD0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2 Portas para </w:t>
            </w:r>
            <w:r>
              <w:rPr>
                <w:rFonts w:ascii="Century Gothic" w:hAnsi="Century Gothic" w:cs="Arial"/>
                <w:sz w:val="22"/>
                <w:szCs w:val="22"/>
              </w:rPr>
              <w:t>empilhamento com velocidade mínima de 10Gbps, Full Duplex;</w:t>
            </w:r>
          </w:p>
          <w:p w14:paraId="4D17FF45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1 Porta de Gerenciamento Ethernet 10/100Base -T ou USB. Será aceita a utilização de um adaptador, que deverá ser fornecido, para a conexão da porta de gerenciamento à porta Ethernet.</w:t>
            </w:r>
          </w:p>
        </w:tc>
      </w:tr>
      <w:tr w:rsidR="00ED36D3" w14:paraId="32FF398B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2DC2834" w14:textId="77777777" w:rsidR="00ED36D3" w:rsidRDefault="00ED36D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73C27600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044F5D7F" w14:textId="77777777" w:rsidR="00ED36D3" w:rsidRDefault="00CA7965">
            <w:pPr>
              <w:numPr>
                <w:ilvl w:val="0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Alimentação </w:t>
            </w:r>
            <w:proofErr w:type="spellStart"/>
            <w:r>
              <w:rPr>
                <w:rFonts w:ascii="Century Gothic" w:hAnsi="Century Gothic" w:cs="Arial"/>
                <w:b/>
                <w:sz w:val="22"/>
                <w:szCs w:val="22"/>
              </w:rPr>
              <w:t>PoE</w:t>
            </w:r>
            <w:proofErr w:type="spellEnd"/>
          </w:p>
        </w:tc>
      </w:tr>
      <w:tr w:rsidR="00ED36D3" w14:paraId="57F6EC8A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635C5EE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4CF504D4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6DD4300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Implementar Power over Ethernet de acordo com os protocolos 802.3af e 802.3at;</w:t>
            </w:r>
          </w:p>
          <w:p w14:paraId="61601ACF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Capacidade de fornecer até 30W para até 12 portas simultaneamente e até 15W para 24 portas simultaneamente, para uma capacidade máxima de 360W;</w:t>
            </w:r>
          </w:p>
          <w:p w14:paraId="3EF15FCD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652B58BD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6EC70C2F" w14:textId="77777777" w:rsidR="00ED36D3" w:rsidRDefault="00CA7965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Empilhamento</w:t>
            </w:r>
          </w:p>
        </w:tc>
      </w:tr>
      <w:tr w:rsidR="00ED36D3" w14:paraId="2FC7AFB4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AF839A1" w14:textId="77777777" w:rsidR="00ED36D3" w:rsidRDefault="00ED36D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79BADBE9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AAC5A8B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empilhamento de, no mínimo, 04 (quatro) equipamentos. As unidades empilhadas deverão ser visualizadas e gerenciadas como um único equipamento. </w:t>
            </w:r>
          </w:p>
          <w:p w14:paraId="611A4B47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Em caso de falha de qualquer equipamento da pilha, as demais unidades deverão permane</w:t>
            </w:r>
            <w:r>
              <w:rPr>
                <w:rFonts w:ascii="Century Gothic" w:hAnsi="Century Gothic" w:cs="Arial"/>
                <w:sz w:val="22"/>
                <w:szCs w:val="22"/>
              </w:rPr>
              <w:t>cer operacionais, sem perda de desempenho;</w:t>
            </w:r>
          </w:p>
          <w:p w14:paraId="48C6D941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acompanhar todos os cabos, adaptadores e softwares necessários ao empilhamento dos equipamentos do mesmo item;</w:t>
            </w:r>
          </w:p>
          <w:p w14:paraId="0F897320" w14:textId="77777777" w:rsidR="00ED36D3" w:rsidRDefault="00CA7965">
            <w:pPr>
              <w:numPr>
                <w:ilvl w:val="1"/>
                <w:numId w:val="16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permitir empilhamento com os demais Switches de Acesso deste mesmo Lote;</w:t>
            </w:r>
          </w:p>
          <w:p w14:paraId="2712444E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02D3283A" w14:textId="77777777" w:rsidR="00ED36D3" w:rsidRDefault="00ED36D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2343E93C" w14:textId="77777777" w:rsidTr="00CA7965">
        <w:trPr>
          <w:gridBefore w:val="1"/>
          <w:wBefore w:w="33" w:type="dxa"/>
          <w:hidden/>
        </w:trPr>
        <w:tc>
          <w:tcPr>
            <w:tcW w:w="9912" w:type="dxa"/>
            <w:gridSpan w:val="2"/>
            <w:shd w:val="clear" w:color="auto" w:fill="A6A6A6"/>
          </w:tcPr>
          <w:p w14:paraId="1093653F" w14:textId="77777777" w:rsidR="00ED36D3" w:rsidRDefault="00ED36D3">
            <w:pPr>
              <w:pStyle w:val="PargrafodaLista"/>
              <w:numPr>
                <w:ilvl w:val="0"/>
                <w:numId w:val="31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019FE627" w14:textId="77777777" w:rsidR="00ED36D3" w:rsidRDefault="00ED36D3">
            <w:pPr>
              <w:pStyle w:val="PargrafodaLista"/>
              <w:numPr>
                <w:ilvl w:val="0"/>
                <w:numId w:val="31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6E4D057C" w14:textId="77777777" w:rsidR="00ED36D3" w:rsidRDefault="00ED36D3">
            <w:pPr>
              <w:pStyle w:val="PargrafodaLista"/>
              <w:numPr>
                <w:ilvl w:val="0"/>
                <w:numId w:val="31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1BD86368" w14:textId="77777777" w:rsidR="00ED36D3" w:rsidRDefault="00ED36D3">
            <w:pPr>
              <w:pStyle w:val="PargrafodaLista"/>
              <w:numPr>
                <w:ilvl w:val="0"/>
                <w:numId w:val="31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576A4773" w14:textId="77777777" w:rsidR="00ED36D3" w:rsidRDefault="00CA7965">
            <w:pPr>
              <w:numPr>
                <w:ilvl w:val="0"/>
                <w:numId w:val="31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Gerenciamento</w:t>
            </w:r>
          </w:p>
        </w:tc>
      </w:tr>
      <w:tr w:rsidR="00ED36D3" w14:paraId="5878205B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F577032" w14:textId="77777777" w:rsidR="00ED36D3" w:rsidRDefault="00ED36D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2D916159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37E1602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duas versões de firmware;</w:t>
            </w:r>
          </w:p>
          <w:p w14:paraId="671F011F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2 arquivos de configuração;</w:t>
            </w:r>
          </w:p>
          <w:p w14:paraId="2B7AFD85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protocolo SNMP v1 e SNMP v2;</w:t>
            </w:r>
          </w:p>
          <w:p w14:paraId="285CA971" w14:textId="77777777" w:rsidR="00ED36D3" w:rsidRDefault="00CA7965">
            <w:pPr>
              <w:numPr>
                <w:ilvl w:val="1"/>
                <w:numId w:val="31"/>
              </w:numPr>
              <w:tabs>
                <w:tab w:val="left" w:pos="993"/>
              </w:tabs>
              <w:spacing w:line="276" w:lineRule="auto"/>
              <w:ind w:left="0" w:firstLine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Permitir a gravação de log externo com 02 grupos de </w:t>
            </w:r>
            <w:r>
              <w:rPr>
                <w:rFonts w:ascii="Century Gothic" w:hAnsi="Century Gothic" w:cs="Arial"/>
                <w:sz w:val="22"/>
                <w:szCs w:val="22"/>
              </w:rPr>
              <w:t>monitoramento remoto;</w:t>
            </w:r>
          </w:p>
          <w:p w14:paraId="05DD0A87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via linhas de comando (CLI) acessível pela porta de gerenciamento, Telnet e SSH;</w:t>
            </w:r>
          </w:p>
          <w:p w14:paraId="0BE9928C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web, utilizando protocolo HTTPS;</w:t>
            </w:r>
          </w:p>
          <w:p w14:paraId="1AA7AC80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513F853E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3D506BAC" w14:textId="77777777" w:rsidR="00ED36D3" w:rsidRDefault="00CA7965">
            <w:pPr>
              <w:numPr>
                <w:ilvl w:val="0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Funções de Camada 2</w:t>
            </w:r>
          </w:p>
        </w:tc>
      </w:tr>
      <w:tr w:rsidR="00ED36D3" w14:paraId="6FEDC9B9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CE77A9C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7577968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Tabela de endereços MAC com </w:t>
            </w:r>
            <w:r>
              <w:rPr>
                <w:rFonts w:ascii="Century Gothic" w:hAnsi="Century Gothic" w:cs="Arial"/>
                <w:sz w:val="22"/>
                <w:szCs w:val="22"/>
              </w:rPr>
              <w:t>capacidade mínima de 8000 entradas;</w:t>
            </w:r>
          </w:p>
          <w:p w14:paraId="61D9503D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a, no mínimo, 255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VLANs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68E81C9C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IEEE 802.1w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Rapid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spanning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Tree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B9E6E74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802.1s Multiple Spanning Tree;</w:t>
            </w:r>
          </w:p>
          <w:p w14:paraId="7800338D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IEEE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802.1p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QoS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3AC69924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802.1Q VLAN</w:t>
            </w:r>
            <w:r>
              <w:rPr>
                <w:rFonts w:ascii="Century Gothic" w:hAnsi="Century Gothic"/>
                <w:sz w:val="22"/>
                <w:szCs w:val="22"/>
              </w:rPr>
              <w:t>;</w:t>
            </w:r>
          </w:p>
        </w:tc>
      </w:tr>
      <w:tr w:rsidR="00ED36D3" w14:paraId="6AF12E67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060C1A2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protocolo IEEE 802.3ad, e </w:t>
            </w:r>
            <w:r>
              <w:rPr>
                <w:rFonts w:ascii="Century Gothic" w:hAnsi="Century Gothic" w:cs="Arial"/>
                <w:sz w:val="22"/>
                <w:szCs w:val="22"/>
              </w:rPr>
              <w:t>capacidade de agregação de até 04 portas físicas por tronco e quatro troncos por equipamento;</w:t>
            </w:r>
          </w:p>
        </w:tc>
      </w:tr>
      <w:tr w:rsidR="00ED36D3" w14:paraId="79DDF4F6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tcBorders>
              <w:top w:val="nil"/>
            </w:tcBorders>
            <w:shd w:val="clear" w:color="auto" w:fill="auto"/>
          </w:tcPr>
          <w:p w14:paraId="418E1B5B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 NTP (Network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ou SNTP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Simple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); </w:t>
            </w:r>
          </w:p>
          <w:p w14:paraId="03BC484E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Permitir o espelhamento de portas, N –1 (Várias portas de origem e 1 porta de dest</w:t>
            </w:r>
            <w:r>
              <w:rPr>
                <w:rFonts w:ascii="Century Gothic" w:hAnsi="Century Gothic" w:cs="Arial"/>
                <w:sz w:val="22"/>
                <w:szCs w:val="22"/>
              </w:rPr>
              <w:t>ino) e 1 – 1 (1 porta de origem e 1 porta de destino);</w:t>
            </w:r>
          </w:p>
          <w:p w14:paraId="692E8E6F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 IGPM v1 ou IGPM v2;</w:t>
            </w:r>
          </w:p>
          <w:p w14:paraId="3A1B17B5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ofertado deve implementar jumbo frames de até 9000 bytes.</w:t>
            </w:r>
          </w:p>
          <w:p w14:paraId="3C695D5C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Suporte a controle de acesso por porta, definido pelo Mac-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Address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ou através de autenticação utiliz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ando o protocolo 802.1x;</w:t>
            </w:r>
          </w:p>
          <w:p w14:paraId="312F6DC3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controle de quantidade de pacotes broadcast,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multicast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unicast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por porta;</w:t>
            </w:r>
          </w:p>
          <w:p w14:paraId="0392956E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DHCP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snooping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297B4A4B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7A4B9D3C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530B79C7" w14:textId="77777777" w:rsidR="00ED36D3" w:rsidRDefault="00CA7965">
            <w:pPr>
              <w:keepNext/>
              <w:numPr>
                <w:ilvl w:val="0"/>
                <w:numId w:val="31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Qualidade de Serviço</w:t>
            </w:r>
          </w:p>
        </w:tc>
      </w:tr>
      <w:tr w:rsidR="00ED36D3" w14:paraId="125BCB0E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uto"/>
          </w:tcPr>
          <w:p w14:paraId="41DBEDC0" w14:textId="77777777" w:rsidR="00ED36D3" w:rsidRDefault="00ED36D3">
            <w:p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</w:p>
          <w:p w14:paraId="2D3CA868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permitir priorização de tráfego usando pelo menos 4 filas de priorização por porta. </w:t>
            </w:r>
          </w:p>
          <w:p w14:paraId="0B156677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classificação e priorização do tráfego recebido de acordo com os seguintes critérios: porta física de entr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ada, campo PCP do protocolo IEEE 802.1p, campo DSCP usando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ACLs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para IPv4. </w:t>
            </w:r>
          </w:p>
          <w:p w14:paraId="4F089E0C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a marcação de pacotes para transmissão para outros equipamentos com base nos seguintes critérios: prioridade definida pelo protocolo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IEEE 802.1p (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CoS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)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(DSCP). </w:t>
            </w:r>
          </w:p>
          <w:p w14:paraId="18A422C1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implementar pelos menos dois entre os seguintes métodos para utilização das filas de priorização: </w:t>
            </w:r>
          </w:p>
          <w:p w14:paraId="6BD60B45" w14:textId="77777777" w:rsidR="00ED36D3" w:rsidRDefault="00CA7965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Fair Queueing (WFQ), </w:t>
            </w:r>
          </w:p>
          <w:p w14:paraId="0D7B4903" w14:textId="77777777" w:rsidR="00ED36D3" w:rsidRDefault="00CA7965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Tail Drop (WTD), </w:t>
            </w:r>
          </w:p>
          <w:p w14:paraId="4DAC9DC7" w14:textId="77777777" w:rsidR="00ED36D3" w:rsidRDefault="00CA7965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SRR (Shaped Round-Robin) </w:t>
            </w:r>
          </w:p>
          <w:p w14:paraId="722DC324" w14:textId="77777777" w:rsidR="00ED36D3" w:rsidRDefault="00CA7965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SDWRR </w:t>
            </w: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(Shaped Deficit Weighted Round-Robin) </w:t>
            </w:r>
          </w:p>
          <w:p w14:paraId="60A432D6" w14:textId="77777777" w:rsidR="00ED36D3" w:rsidRDefault="00CA7965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>WRR (Weighted Round Robin)) e Strict Priority (SP)</w:t>
            </w:r>
          </w:p>
          <w:p w14:paraId="163F3833" w14:textId="77777777" w:rsidR="00ED36D3" w:rsidRDefault="00ED36D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D36D3" w14:paraId="47CCCD30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66899959" w14:textId="77777777" w:rsidR="00ED36D3" w:rsidRDefault="00CA7965">
            <w:pPr>
              <w:keepNext/>
              <w:numPr>
                <w:ilvl w:val="0"/>
                <w:numId w:val="31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Alimentação</w:t>
            </w:r>
          </w:p>
        </w:tc>
      </w:tr>
      <w:tr w:rsidR="00ED36D3" w14:paraId="2B60FB28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uto"/>
          </w:tcPr>
          <w:p w14:paraId="16E88CD2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Fonte de alimentação interna, com seleção automática de tensão entre 110V e 220V;</w:t>
            </w:r>
          </w:p>
          <w:p w14:paraId="726F1AB8" w14:textId="77777777" w:rsidR="00ED36D3" w:rsidRDefault="00CA7965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ED36D3" w14:paraId="2963A59A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4290002D" w14:textId="77777777" w:rsidR="00ED36D3" w:rsidRDefault="00CA7965">
            <w:pPr>
              <w:keepNext/>
              <w:numPr>
                <w:ilvl w:val="0"/>
                <w:numId w:val="31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Diversos</w:t>
            </w:r>
          </w:p>
        </w:tc>
      </w:tr>
      <w:tr w:rsidR="00ED36D3" w14:paraId="736E84FD" w14:textId="77777777" w:rsidTr="00CA7965">
        <w:trPr>
          <w:gridAfter w:val="1"/>
          <w:wAfter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ED4C3F5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Manual de instalação, configuração e operação;</w:t>
            </w:r>
          </w:p>
        </w:tc>
      </w:tr>
      <w:tr w:rsidR="00ED36D3" w14:paraId="3D557503" w14:textId="77777777" w:rsidTr="00CA7965">
        <w:trPr>
          <w:gridAfter w:val="1"/>
          <w:wAfter w:w="33" w:type="dxa"/>
        </w:trPr>
        <w:tc>
          <w:tcPr>
            <w:tcW w:w="99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1F0C8D5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</w:t>
            </w:r>
            <w:r>
              <w:rPr>
                <w:rFonts w:ascii="Century Gothic" w:hAnsi="Century Gothic" w:cs="Arial"/>
                <w:sz w:val="22"/>
                <w:szCs w:val="22"/>
              </w:rPr>
              <w:t>equipamento deverá ser novo e constar na linha de comercialização do fabricante;</w:t>
            </w:r>
          </w:p>
        </w:tc>
      </w:tr>
      <w:tr w:rsidR="00ED36D3" w14:paraId="49A7D012" w14:textId="77777777" w:rsidTr="00CA7965">
        <w:trPr>
          <w:gridAfter w:val="1"/>
          <w:wAfter w:w="33" w:type="dxa"/>
        </w:trPr>
        <w:tc>
          <w:tcPr>
            <w:tcW w:w="9912" w:type="dxa"/>
            <w:gridSpan w:val="2"/>
            <w:tcBorders>
              <w:top w:val="nil"/>
            </w:tcBorders>
            <w:shd w:val="clear" w:color="auto" w:fill="auto"/>
          </w:tcPr>
          <w:p w14:paraId="1276C1A5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Todas as licenças necessárias para o cumprimento dos requisitos deverão ser fornecidas junto com o equipamento, sem prazo de validade;</w:t>
            </w:r>
          </w:p>
          <w:p w14:paraId="70EF8A57" w14:textId="77777777" w:rsidR="00ED36D3" w:rsidRDefault="00CA7965">
            <w:pPr>
              <w:numPr>
                <w:ilvl w:val="1"/>
                <w:numId w:val="3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Todos os equipamentos a serem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entregues deverão ser idênticos, ou seja, todos os componentes externos e internos de mesmos modelos e marca conforme informados na Proposta Comercial. Caso o componente não mais se encontra disponível no mercado, admitem-se substitutos com qualidade e car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acterísticas idênticas ou superiores da mesma marca, mediante declaração técnica.</w:t>
            </w:r>
          </w:p>
          <w:p w14:paraId="309B1CAC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D36D3" w14:paraId="271AEF94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6A6A6"/>
          </w:tcPr>
          <w:p w14:paraId="45E6175C" w14:textId="77777777" w:rsidR="00ED36D3" w:rsidRDefault="00CA7965">
            <w:pPr>
              <w:keepNext/>
              <w:numPr>
                <w:ilvl w:val="0"/>
                <w:numId w:val="31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Garantia</w:t>
            </w:r>
          </w:p>
        </w:tc>
      </w:tr>
      <w:tr w:rsidR="00ED36D3" w14:paraId="27B84430" w14:textId="77777777" w:rsidTr="00CA7965">
        <w:trPr>
          <w:gridBefore w:val="1"/>
          <w:wBefore w:w="33" w:type="dxa"/>
        </w:trPr>
        <w:tc>
          <w:tcPr>
            <w:tcW w:w="9912" w:type="dxa"/>
            <w:gridSpan w:val="2"/>
            <w:shd w:val="clear" w:color="auto" w:fill="auto"/>
          </w:tcPr>
          <w:p w14:paraId="0CD193EA" w14:textId="77777777" w:rsidR="00ED36D3" w:rsidRDefault="00CA7965" w:rsidP="00CA7965">
            <w:pPr>
              <w:numPr>
                <w:ilvl w:val="1"/>
                <w:numId w:val="31"/>
              </w:numPr>
              <w:suppressAutoHyphens w:val="0"/>
              <w:spacing w:line="276" w:lineRule="auto"/>
              <w:ind w:hanging="828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6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0 meses;</w:t>
            </w:r>
          </w:p>
          <w:p w14:paraId="5F24232A" w14:textId="77777777" w:rsidR="00ED36D3" w:rsidRDefault="00CA7965" w:rsidP="00CA7965">
            <w:pPr>
              <w:pStyle w:val="PargrafodaLista"/>
              <w:numPr>
                <w:ilvl w:val="1"/>
                <w:numId w:val="31"/>
              </w:numPr>
              <w:suppressAutoHyphens w:val="0"/>
              <w:spacing w:line="276" w:lineRule="auto"/>
              <w:ind w:hanging="828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Tahoma"/>
                <w:sz w:val="22"/>
              </w:rPr>
              <w:t>O fabricante deverá fornecer atualizações de firmware de forma gratuita por todo o período de garantia do equipamento;</w:t>
            </w:r>
          </w:p>
          <w:p w14:paraId="0865F414" w14:textId="77777777" w:rsidR="00ED36D3" w:rsidRDefault="00CA7965" w:rsidP="00CA7965">
            <w:pPr>
              <w:numPr>
                <w:ilvl w:val="1"/>
                <w:numId w:val="31"/>
              </w:numPr>
              <w:suppressAutoHyphens w:val="0"/>
              <w:spacing w:line="276" w:lineRule="auto"/>
              <w:ind w:hanging="828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O fabricante deverá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disponibilizar central de contato para a solicitação do serviço de garantia via, no mínimo, site web e e-mail;</w:t>
            </w:r>
          </w:p>
          <w:p w14:paraId="4A51535F" w14:textId="77777777" w:rsidR="00ED36D3" w:rsidRDefault="00CA7965" w:rsidP="00CA7965">
            <w:pPr>
              <w:numPr>
                <w:ilvl w:val="1"/>
                <w:numId w:val="31"/>
              </w:numPr>
              <w:suppressAutoHyphens w:val="0"/>
              <w:spacing w:line="276" w:lineRule="auto"/>
              <w:ind w:hanging="828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 Caso seja necessária a substituição de alguma peça ou equipamento, o mesmo deverá ser realizado no prazo máximo de 2 dias úteis após abertura do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chamado.</w:t>
            </w:r>
          </w:p>
          <w:p w14:paraId="2CF82E84" w14:textId="77777777" w:rsidR="00ED36D3" w:rsidRDefault="00CA7965" w:rsidP="00CA7965">
            <w:pPr>
              <w:pStyle w:val="PargrafodaLista"/>
              <w:numPr>
                <w:ilvl w:val="1"/>
                <w:numId w:val="31"/>
              </w:numPr>
              <w:spacing w:line="276" w:lineRule="auto"/>
              <w:ind w:hanging="828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Ficará a cargo da CONTRATADA ou fabricante o envio do produto substituto e sua entrega em local definido pela CONTRATANTE, bem como a remoção do equipamento afetado pela garantia prestada, trâmites e eventuais despesas de devolução dos mesmos ao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fabricante. Esta remoção se dará em até 5 dias úteis a partir de disponibilizado o equipamento pela CONTRATANTE.</w:t>
            </w:r>
          </w:p>
          <w:p w14:paraId="481D50F9" w14:textId="77777777" w:rsidR="00ED36D3" w:rsidRDefault="00ED36D3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31CB635" w14:textId="77777777" w:rsidR="00ED36D3" w:rsidRDefault="00ED36D3">
      <w:pPr>
        <w:pStyle w:val="PargrafodaLista"/>
        <w:ind w:left="792"/>
      </w:pPr>
    </w:p>
    <w:sectPr w:rsidR="00ED36D3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B73B8" w14:textId="77777777" w:rsidR="00000000" w:rsidRDefault="00CA7965">
      <w:r>
        <w:separator/>
      </w:r>
    </w:p>
  </w:endnote>
  <w:endnote w:type="continuationSeparator" w:id="0">
    <w:p w14:paraId="0EEA3307" w14:textId="77777777" w:rsidR="00000000" w:rsidRDefault="00CA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A89D7" w14:textId="77777777" w:rsidR="00ED36D3" w:rsidRDefault="00CA7965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65426748" wp14:editId="3F812ACB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</w:t>
    </w:r>
    <w:r>
      <w:t>: (27)3224-5914 - Fax: (27) 3225-4499</w:t>
    </w:r>
  </w:p>
  <w:p w14:paraId="16A6F478" w14:textId="77777777" w:rsidR="00ED36D3" w:rsidRDefault="00CA7965">
    <w:pPr>
      <w:pStyle w:val="Rodap"/>
      <w:jc w:val="center"/>
    </w:pPr>
    <w:hyperlink r:id="rId1">
      <w:r>
        <w:rPr>
          <w:rStyle w:val="Hyperlink"/>
        </w:rPr>
        <w:t>www.prodest.es.gov.br</w:t>
      </w:r>
    </w:hyperlink>
  </w:p>
  <w:p w14:paraId="1DFD60B5" w14:textId="77777777" w:rsidR="00ED36D3" w:rsidRDefault="00ED36D3">
    <w:pPr>
      <w:pStyle w:val="Rodap"/>
      <w:rPr>
        <w:rFonts w:ascii="Arial" w:hAnsi="Arial"/>
        <w:b/>
        <w:sz w:val="12"/>
      </w:rPr>
    </w:pPr>
  </w:p>
  <w:p w14:paraId="1C73D3AD" w14:textId="77777777" w:rsidR="00ED36D3" w:rsidRDefault="00CA7965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BEF2B" w14:textId="77777777" w:rsidR="00000000" w:rsidRDefault="00CA7965">
      <w:r>
        <w:separator/>
      </w:r>
    </w:p>
  </w:footnote>
  <w:footnote w:type="continuationSeparator" w:id="0">
    <w:p w14:paraId="3B849C74" w14:textId="77777777" w:rsidR="00000000" w:rsidRDefault="00CA7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530FB" w14:textId="77777777" w:rsidR="00ED36D3" w:rsidRDefault="00CA7965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5A2A7B8D" wp14:editId="2AD2A5B8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9538E54" w14:textId="77777777" w:rsidR="00ED36D3" w:rsidRDefault="00CA7965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Governo do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Estado do Espírito Santo</w:t>
                          </w:r>
                        </w:p>
                        <w:p w14:paraId="75880B86" w14:textId="77777777" w:rsidR="00ED36D3" w:rsidRDefault="00CA7965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7F2EF9CE" w14:textId="77777777" w:rsidR="00ED36D3" w:rsidRDefault="00CA7965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483243DB" w14:textId="77777777" w:rsidR="00ED36D3" w:rsidRDefault="00ED36D3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4B61F150" w14:textId="77777777" w:rsidR="00ED36D3" w:rsidRDefault="00ED36D3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fillcolor="white" stroked="f" style="position:absolute;margin-left:42.5pt;margin-top:7.85pt;width:388.15pt;height:45.75pt" wp14:anchorId="5E7D3471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FrameContents"/>
                      <w:rPr>
                        <w:rFonts w:ascii="Arial" w:hAnsi="Arial" w:cs="Arial"/>
                        <w:b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color w:val="000000"/>
                        <w:sz w:val="24"/>
                        <w:szCs w:val="24"/>
                      </w:rPr>
                      <w:t>Governo do Estado do Espírito Santo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>Secretaria de Estado de Gestão e Recursos Humanos – SEGER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</w:r>
                  </w:p>
                  <w:p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6E2C40FC" wp14:editId="32C5E5C7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6D0CE23A" wp14:editId="224FAA3B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04D112" w14:textId="77777777" w:rsidR="00ED36D3" w:rsidRDefault="00ED36D3">
    <w:pPr>
      <w:pStyle w:val="Cabealho"/>
    </w:pPr>
  </w:p>
  <w:p w14:paraId="08D568BF" w14:textId="77777777" w:rsidR="00ED36D3" w:rsidRDefault="00ED36D3">
    <w:pPr>
      <w:pStyle w:val="Cabealho"/>
    </w:pPr>
  </w:p>
  <w:p w14:paraId="7E202C9E" w14:textId="77777777" w:rsidR="00ED36D3" w:rsidRDefault="00ED36D3">
    <w:pPr>
      <w:pStyle w:val="Cabealho"/>
    </w:pPr>
  </w:p>
  <w:p w14:paraId="335CA34F" w14:textId="77777777" w:rsidR="00ED36D3" w:rsidRDefault="00ED36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37E53"/>
    <w:multiLevelType w:val="multilevel"/>
    <w:tmpl w:val="FDCC475E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1" w15:restartNumberingAfterBreak="0">
    <w:nsid w:val="0A545E88"/>
    <w:multiLevelType w:val="multilevel"/>
    <w:tmpl w:val="B7F6FA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AE82461"/>
    <w:multiLevelType w:val="multilevel"/>
    <w:tmpl w:val="A40043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BF84C73"/>
    <w:multiLevelType w:val="multilevel"/>
    <w:tmpl w:val="3FC624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E3E1DD1"/>
    <w:multiLevelType w:val="multilevel"/>
    <w:tmpl w:val="09BA8A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E451B74"/>
    <w:multiLevelType w:val="multilevel"/>
    <w:tmpl w:val="BA5A8B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7D32A47"/>
    <w:multiLevelType w:val="multilevel"/>
    <w:tmpl w:val="5270EF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8D8416A"/>
    <w:multiLevelType w:val="multilevel"/>
    <w:tmpl w:val="90489B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1EC774D9"/>
    <w:multiLevelType w:val="multilevel"/>
    <w:tmpl w:val="0E96C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40461C2"/>
    <w:multiLevelType w:val="multilevel"/>
    <w:tmpl w:val="54E2D5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52E0CC3"/>
    <w:multiLevelType w:val="multilevel"/>
    <w:tmpl w:val="8F7606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2AD02EFD"/>
    <w:multiLevelType w:val="multilevel"/>
    <w:tmpl w:val="9DA2FC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33796E88"/>
    <w:multiLevelType w:val="multilevel"/>
    <w:tmpl w:val="3E465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38677470"/>
    <w:multiLevelType w:val="multilevel"/>
    <w:tmpl w:val="936E4E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87F2C54"/>
    <w:multiLevelType w:val="multilevel"/>
    <w:tmpl w:val="B1466C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15" w15:restartNumberingAfterBreak="0">
    <w:nsid w:val="452F70CE"/>
    <w:multiLevelType w:val="multilevel"/>
    <w:tmpl w:val="AC8A9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49E34D89"/>
    <w:multiLevelType w:val="multilevel"/>
    <w:tmpl w:val="A88224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A97580F"/>
    <w:multiLevelType w:val="multilevel"/>
    <w:tmpl w:val="25EE6A2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8" w15:restartNumberingAfterBreak="0">
    <w:nsid w:val="4C7144C5"/>
    <w:multiLevelType w:val="multilevel"/>
    <w:tmpl w:val="D5F22C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4DBF4C75"/>
    <w:multiLevelType w:val="multilevel"/>
    <w:tmpl w:val="F2D45F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51656180"/>
    <w:multiLevelType w:val="multilevel"/>
    <w:tmpl w:val="60F89E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45B7291"/>
    <w:multiLevelType w:val="multilevel"/>
    <w:tmpl w:val="D55A5D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9F55215"/>
    <w:multiLevelType w:val="multilevel"/>
    <w:tmpl w:val="77B018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5A400E27"/>
    <w:multiLevelType w:val="multilevel"/>
    <w:tmpl w:val="39061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5C090994"/>
    <w:multiLevelType w:val="multilevel"/>
    <w:tmpl w:val="5254CA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5E1810A9"/>
    <w:multiLevelType w:val="multilevel"/>
    <w:tmpl w:val="B85661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668C5332"/>
    <w:multiLevelType w:val="multilevel"/>
    <w:tmpl w:val="DDF0F9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907041C"/>
    <w:multiLevelType w:val="multilevel"/>
    <w:tmpl w:val="9C90ED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6A4101DA"/>
    <w:multiLevelType w:val="multilevel"/>
    <w:tmpl w:val="4FF033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6B7660FF"/>
    <w:multiLevelType w:val="multilevel"/>
    <w:tmpl w:val="A3DEED16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30" w15:restartNumberingAfterBreak="0">
    <w:nsid w:val="6EAE4C57"/>
    <w:multiLevelType w:val="multilevel"/>
    <w:tmpl w:val="BCEE7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706F2620"/>
    <w:multiLevelType w:val="multilevel"/>
    <w:tmpl w:val="B0648C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745C2B78"/>
    <w:multiLevelType w:val="multilevel"/>
    <w:tmpl w:val="9478552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33" w15:restartNumberingAfterBreak="0">
    <w:nsid w:val="76934318"/>
    <w:multiLevelType w:val="multilevel"/>
    <w:tmpl w:val="50A8B0B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A072E7F"/>
    <w:multiLevelType w:val="multilevel"/>
    <w:tmpl w:val="146016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7A880C0B"/>
    <w:multiLevelType w:val="multilevel"/>
    <w:tmpl w:val="451A88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7E46070B"/>
    <w:multiLevelType w:val="multilevel"/>
    <w:tmpl w:val="A6F8EB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8"/>
  </w:num>
  <w:num w:numId="2">
    <w:abstractNumId w:val="32"/>
  </w:num>
  <w:num w:numId="3">
    <w:abstractNumId w:val="9"/>
  </w:num>
  <w:num w:numId="4">
    <w:abstractNumId w:val="11"/>
  </w:num>
  <w:num w:numId="5">
    <w:abstractNumId w:val="34"/>
  </w:num>
  <w:num w:numId="6">
    <w:abstractNumId w:val="26"/>
  </w:num>
  <w:num w:numId="7">
    <w:abstractNumId w:val="30"/>
  </w:num>
  <w:num w:numId="8">
    <w:abstractNumId w:val="22"/>
  </w:num>
  <w:num w:numId="9">
    <w:abstractNumId w:val="28"/>
  </w:num>
  <w:num w:numId="10">
    <w:abstractNumId w:val="23"/>
  </w:num>
  <w:num w:numId="11">
    <w:abstractNumId w:val="0"/>
  </w:num>
  <w:num w:numId="12">
    <w:abstractNumId w:val="13"/>
  </w:num>
  <w:num w:numId="13">
    <w:abstractNumId w:val="16"/>
  </w:num>
  <w:num w:numId="14">
    <w:abstractNumId w:val="17"/>
  </w:num>
  <w:num w:numId="15">
    <w:abstractNumId w:val="29"/>
  </w:num>
  <w:num w:numId="16">
    <w:abstractNumId w:val="4"/>
  </w:num>
  <w:num w:numId="17">
    <w:abstractNumId w:val="36"/>
  </w:num>
  <w:num w:numId="18">
    <w:abstractNumId w:val="10"/>
  </w:num>
  <w:num w:numId="19">
    <w:abstractNumId w:val="19"/>
  </w:num>
  <w:num w:numId="20">
    <w:abstractNumId w:val="15"/>
  </w:num>
  <w:num w:numId="21">
    <w:abstractNumId w:val="7"/>
  </w:num>
  <w:num w:numId="22">
    <w:abstractNumId w:val="12"/>
  </w:num>
  <w:num w:numId="23">
    <w:abstractNumId w:val="18"/>
  </w:num>
  <w:num w:numId="24">
    <w:abstractNumId w:val="3"/>
  </w:num>
  <w:num w:numId="25">
    <w:abstractNumId w:val="31"/>
  </w:num>
  <w:num w:numId="26">
    <w:abstractNumId w:val="25"/>
  </w:num>
  <w:num w:numId="27">
    <w:abstractNumId w:val="27"/>
  </w:num>
  <w:num w:numId="28">
    <w:abstractNumId w:val="5"/>
  </w:num>
  <w:num w:numId="29">
    <w:abstractNumId w:val="24"/>
  </w:num>
  <w:num w:numId="30">
    <w:abstractNumId w:val="2"/>
  </w:num>
  <w:num w:numId="31">
    <w:abstractNumId w:val="1"/>
  </w:num>
  <w:num w:numId="32">
    <w:abstractNumId w:val="20"/>
  </w:num>
  <w:num w:numId="33">
    <w:abstractNumId w:val="33"/>
  </w:num>
  <w:num w:numId="34">
    <w:abstractNumId w:val="35"/>
  </w:num>
  <w:num w:numId="35">
    <w:abstractNumId w:val="6"/>
  </w:num>
  <w:num w:numId="36">
    <w:abstractNumId w:val="14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D3"/>
    <w:rsid w:val="00CA7965"/>
    <w:rsid w:val="00D77518"/>
    <w:rsid w:val="00E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F7DD7"/>
  <w15:docId w15:val="{85722B2C-9FA0-424F-94D1-5D65FC63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817</Words>
  <Characters>4414</Characters>
  <Application>Microsoft Office Word</Application>
  <DocSecurity>0</DocSecurity>
  <Lines>36</Lines>
  <Paragraphs>10</Paragraphs>
  <ScaleCrop>false</ScaleCrop>
  <Company>PRODEST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3</cp:revision>
  <cp:lastPrinted>2020-08-11T19:07:00Z</cp:lastPrinted>
  <dcterms:created xsi:type="dcterms:W3CDTF">2022-04-04T12:17:00Z</dcterms:created>
  <dcterms:modified xsi:type="dcterms:W3CDTF">2022-04-04T12:19:00Z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