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9" w:rsidRDefault="00FF1DA9" w:rsidP="005E749D">
      <w:pPr>
        <w:rPr>
          <w:rFonts w:ascii="Arial" w:hAnsi="Arial" w:cs="Arial"/>
        </w:rPr>
      </w:pPr>
    </w:p>
    <w:p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2C8F" w:rsidRPr="009E2C8F" w:rsidRDefault="00337891" w:rsidP="009E2C8F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Switch de Núcleo</w:t>
            </w:r>
            <w:r w:rsidR="001372BB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  <w:r w:rsidR="0058568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48</w:t>
            </w:r>
            <w:r w:rsidR="007B023A" w:rsidRPr="00DD7B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Portas</w:t>
            </w:r>
            <w:r w:rsidR="00DD7B2F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B023A" w:rsidRPr="00DD7B2F" w:rsidRDefault="007B023A" w:rsidP="009E2C8F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Para instalação em rack de 19”;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Possuir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 equipamento deverá ser capaz de comutar, em sua configuraçã</w:t>
            </w:r>
            <w:r w:rsidR="00770D09">
              <w:rPr>
                <w:rFonts w:ascii="Arial" w:hAnsi="Arial" w:cs="Arial"/>
                <w:sz w:val="24"/>
                <w:szCs w:val="24"/>
              </w:rPr>
              <w:t>o máxima, um volume mínimo de 104</w:t>
            </w:r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E2C8F" w:rsidRPr="000A67DE" w:rsidRDefault="00770D09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Rate 90</w:t>
            </w:r>
            <w:r w:rsidR="009E2C8F"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2C8F" w:rsidRPr="000A67DE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="009E2C8F" w:rsidRPr="000A67D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  <w:p w:rsidR="007B023A" w:rsidRPr="00DD7B2F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empilhamento físico de até 8 unidades, com cabos de empilhamento dedicados, não podendo ser utilizados portas 10Gbps com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 empilhamento;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70D09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48</w:t>
            </w:r>
            <w:r w:rsidR="007B023A" w:rsidRPr="00DD7B2F">
              <w:rPr>
                <w:rFonts w:ascii="Arial" w:hAnsi="Arial" w:cs="Arial"/>
                <w:sz w:val="24"/>
                <w:szCs w:val="24"/>
              </w:rPr>
              <w:t xml:space="preserve"> Portas 10/100/1000BASE-T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70D09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7B023A" w:rsidRPr="00DD7B2F">
              <w:rPr>
                <w:rFonts w:ascii="Arial" w:hAnsi="Arial" w:cs="Arial"/>
                <w:sz w:val="24"/>
                <w:szCs w:val="24"/>
              </w:rPr>
              <w:t xml:space="preserve"> Slots SFP 10/100/1000 Mbps com suporte aos seguintes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8" w:rsidRPr="00DD7B2F" w:rsidRDefault="00AD3068" w:rsidP="009E2C8F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ab/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Padrões</w:t>
            </w:r>
            <w:r w:rsidRPr="00DD7B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EC77D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>802.1x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Port</w:t>
            </w:r>
            <w:proofErr w:type="spellEnd"/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Authentication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>802.1p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QoS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IEEE 802.1Q VLAN;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</w:rPr>
              <w:t xml:space="preserve">IEEE 802.3 10BASE-T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specification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EC77D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802.3u 100BASE-TX specification;</w:t>
            </w:r>
          </w:p>
        </w:tc>
      </w:tr>
      <w:tr w:rsidR="007B023A" w:rsidRPr="00EC77D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802.3ab 1000BASE-T specification;</w:t>
            </w:r>
          </w:p>
        </w:tc>
      </w:tr>
      <w:tr w:rsidR="007B023A" w:rsidRPr="00EC77D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802.3z 1000BASE-X specification;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AD3068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IEEE 802.3ad Link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Aggregation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DD7B2F" w:rsidRDefault="00AD3068" w:rsidP="00AD3068">
            <w:pPr>
              <w:numPr>
                <w:ilvl w:val="1"/>
                <w:numId w:val="2"/>
              </w:numPr>
              <w:tabs>
                <w:tab w:val="left" w:pos="1134"/>
              </w:tabs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 802.1s (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Multi-Instance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), com suporte a, no mínimo, 16 instâncias simultâneas do protocolo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IGMPv1 (RFC 1112), IGMPv2 (RFC 2236);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7B023A" w:rsidP="00AD3068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C8F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2C8F" w:rsidRPr="00DD7B2F" w:rsidRDefault="009E2C8F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9E2C8F" w:rsidRPr="00077F6A" w:rsidTr="009E2C8F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priorização de tráfego usando pelo menos 4 filas de priorização por porta.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classificação e priorização do tráfego recebido de acordo com os seguintes critérios: porta física de entrada, campo PCP do protocolo IEEE 802.1p, campo DSCP usando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 IPv4.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marcação de pacotes para transmissão para outros equipamentos com base nos seguintes critérios: prioridade definida pelo protocolo IEEE </w:t>
            </w:r>
            <w:r>
              <w:rPr>
                <w:rFonts w:ascii="Arial" w:hAnsi="Arial" w:cs="Arial"/>
                <w:sz w:val="24"/>
                <w:szCs w:val="24"/>
              </w:rPr>
              <w:t>802.1p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(DSCP);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implementar pelos menos os seguintes métodos para utilização das filas de priorização: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Fair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Queueing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(WFQ) ou (SDWRR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Shaped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Deficit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Round-Robin ou WRR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Round Robin))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Strict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Priority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(SP).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configuração de regras de controle de banda (Rate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Limiting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) de entrada e saída por porta física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implementar a configuração simultânea de pelo menos </w:t>
            </w:r>
            <w:r w:rsidRPr="000A67DE">
              <w:rPr>
                <w:rFonts w:ascii="Arial" w:hAnsi="Arial" w:cs="Arial"/>
                <w:sz w:val="24"/>
                <w:szCs w:val="24"/>
              </w:rPr>
              <w:lastRenderedPageBreak/>
              <w:t xml:space="preserve">100 regras de 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Limiting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criação de regras ou “policies” de 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Limiting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de entrada e saída.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criação de regras de 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Shaping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por porta física e por prioridade para o tráfego de saída.</w:t>
            </w:r>
          </w:p>
          <w:p w:rsidR="009E2C8F" w:rsidRDefault="009E2C8F" w:rsidP="009E2C8F">
            <w:pPr>
              <w:ind w:left="79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Funções de Camada 2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o protocolo NTPv3 (Network Time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versão 3). Deve ser suportada autenticação e criptografia entre os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peers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7DE">
              <w:rPr>
                <w:rFonts w:ascii="Arial" w:hAnsi="Arial" w:cs="Arial"/>
                <w:sz w:val="24"/>
                <w:szCs w:val="24"/>
              </w:rPr>
              <w:tab/>
              <w:t>NTP, conforme definições da RFC 1305.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DHCP Relay e DHCP Server em múltiplas VLANS.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no mínimo 255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VLANs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Deve permitir a configuração de portas “dual-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mode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”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tagged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untagged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simultaneamente);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 equipamento ofertado deve implementar jumbo frames de até 9000 bytes.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Deve permitir espelhamento de uma porta ou de um grupo de portas ou de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VLANs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para, pelo menos, 01 (uma) porta especificada, mesmo que esta resida em um outro switch que esteja na mesma pilha;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Deve possuir capacidade de configuração de agregação de link utilizando o protocolo IEEE 802.3ad, com pelo menos 4 portas físicas por tronco.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DHCP Relay em múltiplas VLANS;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Possuir análise do protocolo ARP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Resolution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) e possuir proteção nativa contra ataques do tipo “ARP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Poisoning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”;</w:t>
            </w:r>
          </w:p>
          <w:p w:rsidR="007B023A" w:rsidRPr="009E2C8F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Deve possuir mecanismos de detecção e tratamento de loops (STP Root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Guard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BPDU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Guard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ou funcionalidades similares);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8" w:rsidRPr="00DD7B2F" w:rsidRDefault="00AD3068" w:rsidP="001C31C2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C8F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E2C8F" w:rsidRPr="00DD7B2F" w:rsidRDefault="009E2C8F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Funções da Camada 3</w:t>
            </w:r>
          </w:p>
        </w:tc>
      </w:tr>
      <w:tr w:rsidR="009E2C8F" w:rsidRPr="00077F6A" w:rsidTr="009E2C8F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Deve permitir roteamento IPv4 e IPv6 em hardware;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os protocolos de roteamento dinâmico para IPv4: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RIPv1 (RFC 1058), RIPv2 (RFC 2453), 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OSPF (RFC 2328, 1587, 1765 e 2370),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mecanismo de segurança do protocolo OSPF permitindo a autenticação mutua entre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peers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OSPF;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os protocolos de roteamento para IPv6: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RIPng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(RFC 2080)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OSPFv3 (RFC 2740)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Permitir o roteamento nível 3 entre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VLANs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o protocolo VRRP (RFC 2338) ou mecanismo similar de redundância de gateway, para IPv4;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Suportar o protocolo VRRP (RFC 2338) ou mecanismo similar de redundância de gateway, para IPv6;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Implementar, no mínimo, 32 grupos VRRP ou de mecanismo similar de redundância de gateway simultaneamente;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mecanismo de Dual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Stack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(IPv4 e IPv6), para permitir migração de IPv4 para IPv6 (RFC 2893);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DHCP Server em múltiplas VLANS;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Roteamento baseado em políticas, PBR;</w:t>
            </w:r>
          </w:p>
          <w:p w:rsidR="009E2C8F" w:rsidRPr="009E2C8F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Deve permitir a criação e utilização simultânea de no mínimo 100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(Access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Lists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), baseadas em endereço IP de origem/destino, tipos de protocolo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tcp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udp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), portas de origem e destino.</w:t>
            </w:r>
          </w:p>
          <w:p w:rsidR="009E2C8F" w:rsidRPr="00DD7B2F" w:rsidRDefault="009E2C8F" w:rsidP="009E2C8F">
            <w:pPr>
              <w:tabs>
                <w:tab w:val="left" w:pos="993"/>
              </w:tabs>
              <w:ind w:left="79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31C2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C31C2" w:rsidRPr="00DD7B2F" w:rsidRDefault="009E2C8F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Gerenciamento</w:t>
            </w:r>
          </w:p>
        </w:tc>
      </w:tr>
      <w:tr w:rsidR="001C31C2" w:rsidRPr="00077F6A" w:rsidTr="001C31C2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Possuir uma porta exclusiva para gerenciamento;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Ser configurável e gerenciável via GUI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graphical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user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interface), CLI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command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line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interface), SNMP, Telnet, SSH, HTTPS com, no mínimo, 5 sessões simultâneas e independentes;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Permitir a gravação de log externo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syslog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Suporte a SNMPv2c e SNMPv3;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Suporte a MIB/MIB II, RFC 1213;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a MIB privativa que forneça informações relativas ao funcionamento do equipamento, no mínimo conforme abaixo: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Obtenção da configuração do equipamento através do protocolo SNMP;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Obtenção de informações de capacidade e desempenho da CPU, memória e portas;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Permitir o controle da geração de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traps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por porta, possibilitando restringir a geração de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traps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a portas específicas;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nativamente 4 grupos RMON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History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Statistcs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Alarms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Events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 conforme RFC 1757;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possuir serviços para Autenticação, Autorização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(AAA) utilizando servidores RADIUS ou TACACS+;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Permitir a criação de listas de acesso baseadas em endereço IP para limitar o acesso ao switch via Telnet, SSH e SNMP. Deve ser possível definir os endereços IP de origem das sessões Telnet e SSH;</w:t>
            </w:r>
          </w:p>
          <w:p w:rsidR="001C31C2" w:rsidRPr="00DD7B2F" w:rsidRDefault="001C31C2" w:rsidP="009E2C8F">
            <w:pPr>
              <w:ind w:left="79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Alimentação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Fonte de alimentação interna, </w:t>
            </w:r>
            <w:r w:rsidRPr="000A67DE">
              <w:rPr>
                <w:rFonts w:ascii="Arial" w:hAnsi="Arial" w:cs="Arial"/>
                <w:sz w:val="24"/>
                <w:szCs w:val="24"/>
              </w:rPr>
              <w:t>110/220 V, seleção automática de tensão;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 equipamento deve possuir suporte para a instalação de fonte de alimentação redundante, hot-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swappable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do tipo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auto-sense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, para operar de 100 a 240 VAC;</w:t>
            </w:r>
          </w:p>
          <w:p w:rsidR="007B023A" w:rsidRPr="00DD7B2F" w:rsidRDefault="007B023A" w:rsidP="009E2C8F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9E2C8F" w:rsidRPr="00077F6A" w:rsidTr="009E2C8F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EC77DA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  <w:p w:rsidR="009E2C8F" w:rsidRPr="000A67DE" w:rsidRDefault="009E2C8F" w:rsidP="00EC77DA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Cabo para conexão na porta de gerenciamento;</w:t>
            </w:r>
          </w:p>
          <w:p w:rsidR="009E2C8F" w:rsidRPr="000A67DE" w:rsidRDefault="009E2C8F" w:rsidP="00EC77DA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9E2C8F" w:rsidRPr="00EC77DA" w:rsidRDefault="009E2C8F" w:rsidP="00EC77DA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Todas as licenças necessária para o cumprimento dos requisitos deverão ser fornecidas junto com o equipamento;</w:t>
            </w:r>
          </w:p>
          <w:p w:rsidR="00EC77DA" w:rsidRPr="009D02CE" w:rsidRDefault="00EC77DA" w:rsidP="00EC77D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EC77DA" w:rsidRPr="00324849" w:rsidRDefault="00EC77DA" w:rsidP="00EC77D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EC77DA" w:rsidRPr="00324849" w:rsidRDefault="00EC77DA" w:rsidP="00EC77D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EC77DA" w:rsidRPr="00324849" w:rsidRDefault="00EC77DA" w:rsidP="00EC77D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EC77DA" w:rsidRPr="00DD7B2F" w:rsidRDefault="00EC77DA" w:rsidP="00903387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387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903387"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  <w:bookmarkStart w:id="0" w:name="_GoBack"/>
            <w:bookmarkEnd w:id="0"/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ab/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Garantia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1C31C2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 assistência técnica própria ou autorizada.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B023A" w:rsidRDefault="007B023A" w:rsidP="005E749D">
      <w:pPr>
        <w:rPr>
          <w:rFonts w:ascii="Arial" w:hAnsi="Arial" w:cs="Arial"/>
        </w:rPr>
      </w:pPr>
    </w:p>
    <w:p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3A" w:rsidRDefault="007B023A">
      <w:r>
        <w:separator/>
      </w:r>
    </w:p>
  </w:endnote>
  <w:endnote w:type="continuationSeparator" w:id="0">
    <w:p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903387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903387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3A" w:rsidRDefault="007B023A">
      <w:r>
        <w:separator/>
      </w:r>
    </w:p>
  </w:footnote>
  <w:footnote w:type="continuationSeparator" w:id="0">
    <w:p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9033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9033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40A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26351"/>
    <w:multiLevelType w:val="multilevel"/>
    <w:tmpl w:val="C582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6618F"/>
    <w:rsid w:val="001C31C2"/>
    <w:rsid w:val="0028662F"/>
    <w:rsid w:val="002A4B36"/>
    <w:rsid w:val="002B67FA"/>
    <w:rsid w:val="002F4FC8"/>
    <w:rsid w:val="00337891"/>
    <w:rsid w:val="003E1826"/>
    <w:rsid w:val="0042119E"/>
    <w:rsid w:val="004444E3"/>
    <w:rsid w:val="00455CC9"/>
    <w:rsid w:val="004649C5"/>
    <w:rsid w:val="00472A92"/>
    <w:rsid w:val="004B3BA9"/>
    <w:rsid w:val="004D1D74"/>
    <w:rsid w:val="004F0D3F"/>
    <w:rsid w:val="0053361A"/>
    <w:rsid w:val="00560E12"/>
    <w:rsid w:val="005619FD"/>
    <w:rsid w:val="0058568D"/>
    <w:rsid w:val="005E5F14"/>
    <w:rsid w:val="005E749D"/>
    <w:rsid w:val="00610365"/>
    <w:rsid w:val="006E371A"/>
    <w:rsid w:val="006F1F42"/>
    <w:rsid w:val="00711619"/>
    <w:rsid w:val="00770204"/>
    <w:rsid w:val="00770D09"/>
    <w:rsid w:val="007B023A"/>
    <w:rsid w:val="007E37E4"/>
    <w:rsid w:val="007E5F0A"/>
    <w:rsid w:val="00810BC2"/>
    <w:rsid w:val="00865184"/>
    <w:rsid w:val="008E60C8"/>
    <w:rsid w:val="00903387"/>
    <w:rsid w:val="00965256"/>
    <w:rsid w:val="00976B01"/>
    <w:rsid w:val="009D2C57"/>
    <w:rsid w:val="009E2C8F"/>
    <w:rsid w:val="00A36772"/>
    <w:rsid w:val="00A517E0"/>
    <w:rsid w:val="00A827CB"/>
    <w:rsid w:val="00AD3068"/>
    <w:rsid w:val="00C02A7C"/>
    <w:rsid w:val="00C61B5B"/>
    <w:rsid w:val="00C808B0"/>
    <w:rsid w:val="00D81F1C"/>
    <w:rsid w:val="00DA0CE9"/>
    <w:rsid w:val="00DA2AC8"/>
    <w:rsid w:val="00DD7B2F"/>
    <w:rsid w:val="00E1387A"/>
    <w:rsid w:val="00E57925"/>
    <w:rsid w:val="00E93DA8"/>
    <w:rsid w:val="00E96148"/>
    <w:rsid w:val="00EC77DA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3</TotalTime>
  <Pages>4</Pages>
  <Words>1345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8592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6</cp:revision>
  <cp:lastPrinted>2007-04-18T16:40:00Z</cp:lastPrinted>
  <dcterms:created xsi:type="dcterms:W3CDTF">2014-08-11T20:49:00Z</dcterms:created>
  <dcterms:modified xsi:type="dcterms:W3CDTF">2014-12-05T12:11:00Z</dcterms:modified>
</cp:coreProperties>
</file>