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A9" w:rsidRDefault="00FF1DA9" w:rsidP="005E749D">
      <w:pPr>
        <w:rPr>
          <w:rFonts w:ascii="Arial" w:hAnsi="Arial" w:cs="Arial"/>
        </w:rPr>
      </w:pPr>
    </w:p>
    <w:p w:rsidR="007B023A" w:rsidRDefault="007B023A" w:rsidP="005E749D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5"/>
      </w:tblGrid>
      <w:tr w:rsidR="007B023A" w:rsidRPr="0085386E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2C8F" w:rsidRPr="009E2C8F" w:rsidRDefault="00470790" w:rsidP="009E2C8F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Switch de Núcleo</w:t>
            </w:r>
            <w:r w:rsidR="001372BB" w:rsidRPr="00DD7B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B023A"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com</w:t>
            </w:r>
            <w:r w:rsidR="007B023A" w:rsidRPr="00DD7B2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24 </w:t>
            </w:r>
            <w:r w:rsidR="007B023A"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Portas</w:t>
            </w:r>
            <w:r w:rsidR="00DD7B2F" w:rsidRPr="00DD7B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7B023A" w:rsidRPr="00DD7B2F" w:rsidRDefault="007B023A" w:rsidP="009E2C8F">
            <w:pPr>
              <w:keepNext/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line="276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Com as seguintes configurações mínimas</w:t>
            </w:r>
          </w:p>
        </w:tc>
      </w:tr>
      <w:tr w:rsidR="007B023A" w:rsidRPr="00077F6A" w:rsidTr="007B023A">
        <w:tc>
          <w:tcPr>
            <w:tcW w:w="1034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7B023A" w:rsidRPr="00DD7B2F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7B2F">
              <w:rPr>
                <w:rFonts w:ascii="Arial" w:hAnsi="Arial" w:cs="Arial"/>
                <w:b/>
                <w:sz w:val="24"/>
                <w:szCs w:val="24"/>
              </w:rPr>
              <w:t>Características Gerais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Para instalação em rack de 19”;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Possuir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LEDs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para a indicação do status das portas e atividade;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O equipamento deverá ser capaz de comutar, em sua configuração máxima, um volume mínimo de 52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Gbps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Forwarding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Rate 65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Mpps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Tabela de endereços MAC com capacidade mínima de 8000 entradas;</w:t>
            </w:r>
          </w:p>
          <w:p w:rsidR="007B023A" w:rsidRPr="00DD7B2F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Implementar empilhamento físico de até 8 unidades, com cabos de empilhamento dedicados, não podendo ser utilizados portas 10Gbps com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SFPs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para empilhamento;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DD7B2F" w:rsidRDefault="007B023A" w:rsidP="00455CC9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DD7B2F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D7B2F">
              <w:rPr>
                <w:rFonts w:ascii="Arial" w:hAnsi="Arial" w:cs="Arial"/>
                <w:b/>
                <w:sz w:val="24"/>
                <w:szCs w:val="24"/>
              </w:rPr>
              <w:t>Portas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 xml:space="preserve"> 24 Portas 10/100/1000BASE-T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auto-sensing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Gigabit Ethernet;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 xml:space="preserve"> 2 Slots SFP 10/100/1000 Mbps com suporte aos seguintes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SFPs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: 1000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Base-SX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; 1000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Base-LX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 e 1000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Base-T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3068" w:rsidRPr="00DD7B2F">
              <w:rPr>
                <w:rFonts w:ascii="Arial" w:hAnsi="Arial" w:cs="Arial"/>
                <w:sz w:val="24"/>
                <w:szCs w:val="24"/>
              </w:rPr>
              <w:t>Auto-negociação</w:t>
            </w:r>
            <w:proofErr w:type="spellEnd"/>
            <w:r w:rsidR="00AD3068" w:rsidRPr="00DD7B2F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AD3068" w:rsidRPr="00DD7B2F">
              <w:rPr>
                <w:rFonts w:ascii="Arial" w:hAnsi="Arial" w:cs="Arial"/>
                <w:sz w:val="24"/>
                <w:szCs w:val="24"/>
              </w:rPr>
              <w:t>Auto-MDIX</w:t>
            </w:r>
            <w:proofErr w:type="spellEnd"/>
            <w:r w:rsidR="00AD3068" w:rsidRPr="00DD7B2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85386E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8" w:rsidRPr="00DD7B2F" w:rsidRDefault="00AD3068" w:rsidP="009E2C8F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3A" w:rsidRPr="0085386E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DD7B2F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ab/>
            </w: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Padrões</w:t>
            </w:r>
            <w:r w:rsidRPr="00DD7B2F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suportados</w:t>
            </w:r>
          </w:p>
        </w:tc>
      </w:tr>
      <w:tr w:rsidR="007B023A" w:rsidRPr="00EE1F9D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 xml:space="preserve"> IEEE 802.1w Rapid spanning Tree Protocol;</w:t>
            </w:r>
          </w:p>
          <w:p w:rsidR="00AD3068" w:rsidRPr="00DD7B2F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7B2F">
              <w:rPr>
                <w:rFonts w:ascii="Arial" w:eastAsia="Calibri" w:hAnsi="Arial" w:cs="Arial"/>
                <w:sz w:val="24"/>
                <w:szCs w:val="24"/>
              </w:rPr>
              <w:t>IEEE</w:t>
            </w:r>
            <w:r w:rsidRPr="00DD7B2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D7B2F">
              <w:rPr>
                <w:rFonts w:ascii="Arial" w:eastAsia="Calibri" w:hAnsi="Arial" w:cs="Arial"/>
                <w:sz w:val="24"/>
                <w:szCs w:val="24"/>
              </w:rPr>
              <w:t>802.1x</w:t>
            </w:r>
            <w:r w:rsidRPr="00DD7B2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7B2F">
              <w:rPr>
                <w:rFonts w:ascii="Arial" w:eastAsia="Calibri" w:hAnsi="Arial" w:cs="Arial"/>
                <w:sz w:val="24"/>
                <w:szCs w:val="24"/>
              </w:rPr>
              <w:t>Port</w:t>
            </w:r>
            <w:proofErr w:type="spellEnd"/>
            <w:r w:rsidRPr="00DD7B2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7B2F">
              <w:rPr>
                <w:rFonts w:ascii="Arial" w:eastAsia="Calibri" w:hAnsi="Arial" w:cs="Arial"/>
                <w:sz w:val="24"/>
                <w:szCs w:val="24"/>
              </w:rPr>
              <w:t>Authentication</w:t>
            </w:r>
            <w:proofErr w:type="spellEnd"/>
            <w:r w:rsidRPr="00DD7B2F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AD3068" w:rsidRPr="00DD7B2F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>IEEE 802.1d Spanning Tree Protocol;</w:t>
            </w:r>
          </w:p>
        </w:tc>
      </w:tr>
      <w:tr w:rsidR="007B023A" w:rsidRPr="007E37E4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068" w:rsidRPr="00DD7B2F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7B2F">
              <w:rPr>
                <w:rFonts w:ascii="Arial" w:eastAsia="Calibri" w:hAnsi="Arial" w:cs="Arial"/>
                <w:sz w:val="24"/>
                <w:szCs w:val="24"/>
              </w:rPr>
              <w:t>IEEE</w:t>
            </w:r>
            <w:r w:rsidRPr="00DD7B2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DD7B2F">
              <w:rPr>
                <w:rFonts w:ascii="Arial" w:eastAsia="Calibri" w:hAnsi="Arial" w:cs="Arial"/>
                <w:sz w:val="24"/>
                <w:szCs w:val="24"/>
              </w:rPr>
              <w:t>802.1p</w:t>
            </w:r>
            <w:r w:rsidRPr="00DD7B2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 w:rsidRPr="00DD7B2F">
              <w:rPr>
                <w:rFonts w:ascii="Arial" w:eastAsia="Calibri" w:hAnsi="Arial" w:cs="Arial"/>
                <w:sz w:val="24"/>
                <w:szCs w:val="24"/>
              </w:rPr>
              <w:t>QoS</w:t>
            </w:r>
            <w:proofErr w:type="spellEnd"/>
            <w:r w:rsidRPr="00DD7B2F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7B023A" w:rsidRPr="00DD7B2F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>IEEE 802.1Q VLAN;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3068" w:rsidRPr="00DD7B2F">
              <w:rPr>
                <w:rFonts w:ascii="Arial" w:hAnsi="Arial" w:cs="Arial"/>
                <w:sz w:val="24"/>
                <w:szCs w:val="24"/>
              </w:rPr>
              <w:t xml:space="preserve">IEEE 802.3 10BASE-T </w:t>
            </w:r>
            <w:proofErr w:type="spellStart"/>
            <w:r w:rsidR="00AD3068" w:rsidRPr="00DD7B2F">
              <w:rPr>
                <w:rFonts w:ascii="Arial" w:hAnsi="Arial" w:cs="Arial"/>
                <w:sz w:val="24"/>
                <w:szCs w:val="24"/>
              </w:rPr>
              <w:t>specification</w:t>
            </w:r>
            <w:proofErr w:type="spellEnd"/>
            <w:r w:rsidR="00AD3068" w:rsidRPr="00DD7B2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EE1F9D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3068" w:rsidRPr="00DD7B2F">
              <w:rPr>
                <w:rFonts w:ascii="Arial" w:hAnsi="Arial" w:cs="Arial"/>
                <w:sz w:val="24"/>
                <w:szCs w:val="24"/>
                <w:lang w:val="en-US"/>
              </w:rPr>
              <w:t>IEEE 802.3u 100BASE-TX specification;</w:t>
            </w:r>
          </w:p>
        </w:tc>
      </w:tr>
      <w:tr w:rsidR="007B023A" w:rsidRPr="00EE1F9D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3068" w:rsidRPr="00DD7B2F">
              <w:rPr>
                <w:rFonts w:ascii="Arial" w:hAnsi="Arial" w:cs="Arial"/>
                <w:sz w:val="24"/>
                <w:szCs w:val="24"/>
                <w:lang w:val="en-US"/>
              </w:rPr>
              <w:t>IEEE 802.3ab 1000BASE-T specification;</w:t>
            </w:r>
          </w:p>
        </w:tc>
      </w:tr>
      <w:tr w:rsidR="007B023A" w:rsidRPr="00EE1F9D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7B023A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3068" w:rsidRPr="00DD7B2F">
              <w:rPr>
                <w:rFonts w:ascii="Arial" w:hAnsi="Arial" w:cs="Arial"/>
                <w:sz w:val="24"/>
                <w:szCs w:val="24"/>
                <w:lang w:val="en-US"/>
              </w:rPr>
              <w:t>IEEE 802.3z 1000BASE-X specification;</w:t>
            </w:r>
          </w:p>
        </w:tc>
      </w:tr>
      <w:tr w:rsidR="007B023A" w:rsidRPr="007E37E4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023A" w:rsidRPr="00DD7B2F" w:rsidRDefault="00AD3068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 xml:space="preserve">IEEE 802.3ad Link </w:t>
            </w:r>
            <w:proofErr w:type="spellStart"/>
            <w:r w:rsidRPr="00DD7B2F">
              <w:rPr>
                <w:rFonts w:ascii="Arial" w:hAnsi="Arial" w:cs="Arial"/>
                <w:sz w:val="24"/>
                <w:szCs w:val="24"/>
              </w:rPr>
              <w:t>Aggregation</w:t>
            </w:r>
            <w:proofErr w:type="spellEnd"/>
            <w:r w:rsidRPr="00DD7B2F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3068" w:rsidRPr="00DD7B2F" w:rsidRDefault="00AD3068" w:rsidP="00AD3068">
            <w:pPr>
              <w:numPr>
                <w:ilvl w:val="1"/>
                <w:numId w:val="2"/>
              </w:numPr>
              <w:tabs>
                <w:tab w:val="left" w:pos="1134"/>
              </w:tabs>
              <w:suppressAutoHyphens/>
              <w:snapToGrid w:val="0"/>
              <w:spacing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D7B2F">
              <w:rPr>
                <w:rFonts w:ascii="Arial" w:eastAsia="Calibri" w:hAnsi="Arial" w:cs="Arial"/>
                <w:sz w:val="24"/>
                <w:szCs w:val="24"/>
              </w:rPr>
              <w:t>IEEE 802.1s (</w:t>
            </w:r>
            <w:proofErr w:type="spellStart"/>
            <w:r w:rsidRPr="00DD7B2F">
              <w:rPr>
                <w:rFonts w:ascii="Arial" w:eastAsia="Calibri" w:hAnsi="Arial" w:cs="Arial"/>
                <w:sz w:val="24"/>
                <w:szCs w:val="24"/>
              </w:rPr>
              <w:t>Multi-Instance</w:t>
            </w:r>
            <w:proofErr w:type="spellEnd"/>
            <w:r w:rsidRPr="00DD7B2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DD7B2F">
              <w:rPr>
                <w:rFonts w:ascii="Arial" w:eastAsia="Calibri" w:hAnsi="Arial" w:cs="Arial"/>
                <w:sz w:val="24"/>
                <w:szCs w:val="24"/>
              </w:rPr>
              <w:t>Spanning-Tree</w:t>
            </w:r>
            <w:proofErr w:type="spellEnd"/>
            <w:r w:rsidRPr="00DD7B2F">
              <w:rPr>
                <w:rFonts w:ascii="Arial" w:eastAsia="Calibri" w:hAnsi="Arial" w:cs="Arial"/>
                <w:sz w:val="24"/>
                <w:szCs w:val="24"/>
              </w:rPr>
              <w:t xml:space="preserve">), com suporte a, no mínimo, 16 instâncias simultâneas do protocolo </w:t>
            </w:r>
            <w:proofErr w:type="spellStart"/>
            <w:r w:rsidRPr="00DD7B2F">
              <w:rPr>
                <w:rFonts w:ascii="Arial" w:eastAsia="Calibri" w:hAnsi="Arial" w:cs="Arial"/>
                <w:sz w:val="24"/>
                <w:szCs w:val="24"/>
              </w:rPr>
              <w:t>Spanning-Tree</w:t>
            </w:r>
            <w:proofErr w:type="spellEnd"/>
            <w:r w:rsidRPr="00DD7B2F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:rsidR="007B023A" w:rsidRPr="00DD7B2F" w:rsidRDefault="00AD3068" w:rsidP="00AD3068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>IGMPv1 (RFC 1112), IGMPv2 (RFC 2236);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DD7B2F" w:rsidRDefault="007B023A" w:rsidP="00AD3068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C8F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2C8F" w:rsidRPr="00DD7B2F" w:rsidRDefault="009E2C8F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Qualidade de Serviço</w:t>
            </w:r>
          </w:p>
        </w:tc>
      </w:tr>
      <w:tr w:rsidR="009E2C8F" w:rsidRPr="00077F6A" w:rsidTr="009E2C8F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O equipamento ofertado deve permitir priorização de tráfego usando pelo menos 4 filas de priorização por porta. 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O equipamento ofertado deve permitir classificação e priorização do tráfego recebido de acordo com os seguintes critérios: porta física de entrada, campo PCP do protocolo IEEE 802.1p, campo DSCP usando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DiffServ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ACLs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para IPv4. 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O equipamento ofertado deve permitir a marcação de pacotes para transmissão para outros equipamentos com base nos seguintes critérios: prioridade definida pelo protocolo IEEE </w:t>
            </w:r>
            <w:r>
              <w:rPr>
                <w:rFonts w:ascii="Arial" w:hAnsi="Arial" w:cs="Arial"/>
                <w:sz w:val="24"/>
                <w:szCs w:val="24"/>
              </w:rPr>
              <w:t>802.1p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DiffServ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(DSCP);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O equipamento ofertado deve implementar pelos menos os seguintes métodos para utilização das filas de priorização: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Weighted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Fair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Queueing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(WFQ) ou (SDWRR (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Shaped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Deficit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Weighted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Round-Robin ou WRR (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Weighted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Round Robin)) 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Strict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Priority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(SP). 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O equipamento ofertado deve permitir a configuração de regras de controle de banda (Rate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Limiting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) de entrada e saída por porta física 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ACLs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O equipamento ofertado deve implementar a configuração simultânea de pelo menos </w:t>
            </w:r>
            <w:r w:rsidRPr="000A67DE">
              <w:rPr>
                <w:rFonts w:ascii="Arial" w:hAnsi="Arial" w:cs="Arial"/>
                <w:sz w:val="24"/>
                <w:szCs w:val="24"/>
              </w:rPr>
              <w:lastRenderedPageBreak/>
              <w:t xml:space="preserve">100 regras de Rate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Limiting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O equipamento ofertado deve permitir a criação de regras ou “policies” de Rate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Limiting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de entrada e saída. 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O equipamento ofertado deve permitir a criação de regras de Rate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Shaping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por porta física e por prioridade para o tráfego de saída.</w:t>
            </w:r>
          </w:p>
          <w:p w:rsidR="009E2C8F" w:rsidRDefault="009E2C8F" w:rsidP="009E2C8F">
            <w:pPr>
              <w:ind w:left="79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DD7B2F" w:rsidRDefault="007B023A" w:rsidP="00C61B5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Funções de Camada 2</w:t>
            </w:r>
          </w:p>
        </w:tc>
      </w:tr>
      <w:tr w:rsidR="007B023A" w:rsidRPr="00077F6A" w:rsidTr="00676590"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Implementar o protocolo NTPv3 (Network Time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Protocol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, versão 3). Deve ser suportada autenticação e criptografia entre os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peers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A67DE">
              <w:rPr>
                <w:rFonts w:ascii="Arial" w:hAnsi="Arial" w:cs="Arial"/>
                <w:sz w:val="24"/>
                <w:szCs w:val="24"/>
              </w:rPr>
              <w:tab/>
              <w:t>NTP, conforme definições da RFC 1305.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Implementar DHCP Relay e DHCP Server em múltiplas VLANS.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Implementar no mínimo 255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VLANs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Deve permitir a configuração de portas “dual-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mode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>” (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tagged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untagged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simultaneamente);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O equipamento ofertado deve implementar jumbo frames de até 9000 bytes.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Deve permitir espelhamento de uma porta ou de um grupo de portas ou de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VLANs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para, pelo menos, 01 (uma) porta especificada, mesmo que esta resida em um outro switch que esteja na mesma pilha;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Deve possuir capacidade de configuração de agregação de link utilizando o protocolo IEEE 802.3ad, com pelo menos 4 portas físicas por tronco.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Implementar DHCP Relay em múltiplas VLANS;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Possuir análise do protocolo ARP (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Resolution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Protocol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) e possuir proteção nativa contra ataques do tipo “ARP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Poisoning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>”;</w:t>
            </w:r>
          </w:p>
          <w:p w:rsidR="007B023A" w:rsidRPr="009E2C8F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Deve possuir mecanismos de detecção e tratamento de loops (STP Root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Guard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, BPDU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Guard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ou funcionalidades similares);</w:t>
            </w:r>
          </w:p>
        </w:tc>
      </w:tr>
      <w:tr w:rsidR="007B023A" w:rsidRPr="007B023A" w:rsidTr="00676590">
        <w:tc>
          <w:tcPr>
            <w:tcW w:w="10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68" w:rsidRPr="00DD7B2F" w:rsidRDefault="00AD3068" w:rsidP="001C31C2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C8F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9E2C8F" w:rsidRPr="00DD7B2F" w:rsidRDefault="009E2C8F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Funções da Camada 3</w:t>
            </w:r>
          </w:p>
        </w:tc>
      </w:tr>
      <w:tr w:rsidR="009E2C8F" w:rsidRPr="00077F6A" w:rsidTr="009E2C8F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Deve permitir roteamento IPv4 e IPv6 em hardware;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Implementar os protocolos de roteamento dinâmico para IPv4:</w:t>
            </w:r>
          </w:p>
          <w:p w:rsidR="009E2C8F" w:rsidRPr="000A67DE" w:rsidRDefault="009E2C8F" w:rsidP="009E2C8F">
            <w:pPr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RIPv1 (RFC 1058), RIPv2 (RFC 2453), </w:t>
            </w:r>
          </w:p>
          <w:p w:rsidR="009E2C8F" w:rsidRPr="000A67DE" w:rsidRDefault="009E2C8F" w:rsidP="009E2C8F">
            <w:pPr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OSPF (RFC 2328, 1587, 1765 e 2370), 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Implementar mecanismo de segurança do protocolo OSPF permitindo a autenticação mutua entre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peers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OSPF;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Implementar os protocolos de roteamento para IPv6:</w:t>
            </w:r>
          </w:p>
          <w:p w:rsidR="009E2C8F" w:rsidRPr="000A67DE" w:rsidRDefault="009E2C8F" w:rsidP="009E2C8F">
            <w:pPr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RIPng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(RFC 2080)</w:t>
            </w:r>
          </w:p>
          <w:p w:rsidR="009E2C8F" w:rsidRPr="000A67DE" w:rsidRDefault="009E2C8F" w:rsidP="009E2C8F">
            <w:pPr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OSPFv3 (RFC 2740)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Permitir o roteamento nível 3 entre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VLANs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Implementar o protocolo VRRP (RFC 2338) ou mecanismo similar de redundância de gateway, para IPv4;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Suportar o protocolo VRRP (RFC 2338) ou mecanismo similar de redundância de gateway, para IPv6;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Implementar, no mínimo, 32 grupos VRRP ou de mecanismo similar de redundância de gateway simultaneamente;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Implementar mecanismo de Dual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Stack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(IPv4 e IPv6), para permitir migração de IPv4 para IPv6 (RFC 2893);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Implementar DHCP Server em múltiplas VLANS;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Implementar Roteamento baseado em políticas, PBR;</w:t>
            </w:r>
          </w:p>
          <w:p w:rsidR="009E2C8F" w:rsidRPr="009E2C8F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Deve permitir a criação e utilização simultânea de no mínimo 100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ACLs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(Access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Control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Lists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>), baseadas em endereço IP de origem/destino, tipos de protocolo (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ip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tcp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udp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>), portas de origem e destino.</w:t>
            </w:r>
          </w:p>
          <w:p w:rsidR="009E2C8F" w:rsidRPr="00DD7B2F" w:rsidRDefault="009E2C8F" w:rsidP="009E2C8F">
            <w:pPr>
              <w:tabs>
                <w:tab w:val="left" w:pos="993"/>
              </w:tabs>
              <w:ind w:left="79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C31C2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1C31C2" w:rsidRPr="00DD7B2F" w:rsidRDefault="009E2C8F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Gerenciamento</w:t>
            </w:r>
          </w:p>
        </w:tc>
      </w:tr>
      <w:tr w:rsidR="001C31C2" w:rsidRPr="00077F6A" w:rsidTr="001C31C2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Possuir uma porta exclusiva para gerenciamento;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Ser configurável e gerenciável via GUI (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graphical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user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interface), CLI (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command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line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interface), SNMP, Telnet, SSH, HTTPS com, no mínimo, 5 sessões simultâneas e independentes;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Permitir a gravação de log externo (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syslog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>);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Suporte a SNMPv2c e SNMPv3;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Suporte a MIB/MIB II, RFC 1213;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Implementar a MIB privativa que forneça informações relativas ao funcionamento do equipamento, no mínimo conforme abaixo: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Obtenção da configuração do equipamento através do protocolo SNMP;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Obtenção de informações de capacidade e desempenho da CPU, memória e portas;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Permitir o controle da geração de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traps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por porta, possibilitando restringir a geração de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traps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a portas específicas;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Implementar nativamente 4 grupos RMON (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History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Statistcs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Alarms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Events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>) conforme RFC 1757;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 xml:space="preserve">O equipamento ofertado deve possuir serviços para Autenticação, Autorização e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Accounting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 (AAA) utilizando servidores RADIUS ou TACACS+;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Permitir a criação de listas de acesso baseadas em endereço IP para limitar o acesso ao switch via Telnet, SSH e SNMP. Deve ser possível definir os endereços IP de origem das sessões Telnet e SSH;</w:t>
            </w:r>
          </w:p>
          <w:p w:rsidR="001C31C2" w:rsidRPr="00DD7B2F" w:rsidRDefault="001C31C2" w:rsidP="009E2C8F">
            <w:pPr>
              <w:ind w:left="79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DD7B2F" w:rsidRDefault="007B023A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Alimentação</w:t>
            </w:r>
          </w:p>
        </w:tc>
      </w:tr>
      <w:tr w:rsidR="007B023A" w:rsidRPr="00077F6A" w:rsidTr="00676590">
        <w:tc>
          <w:tcPr>
            <w:tcW w:w="10345" w:type="dxa"/>
            <w:tcBorders>
              <w:left w:val="single" w:sz="4" w:space="0" w:color="auto"/>
              <w:right w:val="single" w:sz="4" w:space="0" w:color="auto"/>
            </w:tcBorders>
          </w:tcPr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Fonte de alimentação interna, </w:t>
            </w:r>
            <w:r w:rsidRPr="000A67DE">
              <w:rPr>
                <w:rFonts w:ascii="Arial" w:hAnsi="Arial" w:cs="Arial"/>
                <w:sz w:val="24"/>
                <w:szCs w:val="24"/>
              </w:rPr>
              <w:t>110/220 V, seleção automática de tensão;</w:t>
            </w:r>
          </w:p>
          <w:p w:rsidR="009E2C8F" w:rsidRPr="000A67DE" w:rsidRDefault="009E2C8F" w:rsidP="009E2C8F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O equipamento deve possuir suporte para a instalação de fonte de alimentação redundante, hot-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swappable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 xml:space="preserve">, do tipo </w:t>
            </w:r>
            <w:proofErr w:type="spellStart"/>
            <w:r w:rsidRPr="000A67DE">
              <w:rPr>
                <w:rFonts w:ascii="Arial" w:hAnsi="Arial" w:cs="Arial"/>
                <w:sz w:val="24"/>
                <w:szCs w:val="24"/>
              </w:rPr>
              <w:t>auto-sense</w:t>
            </w:r>
            <w:proofErr w:type="spellEnd"/>
            <w:r w:rsidRPr="000A67DE">
              <w:rPr>
                <w:rFonts w:ascii="Arial" w:hAnsi="Arial" w:cs="Arial"/>
                <w:sz w:val="24"/>
                <w:szCs w:val="24"/>
              </w:rPr>
              <w:t>, para operar de 100 a 240 VAC;</w:t>
            </w:r>
          </w:p>
          <w:p w:rsidR="007B023A" w:rsidRPr="00DD7B2F" w:rsidRDefault="007B023A" w:rsidP="009E2C8F">
            <w:pPr>
              <w:ind w:left="79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23A" w:rsidRPr="00077F6A" w:rsidTr="007B023A">
        <w:tc>
          <w:tcPr>
            <w:tcW w:w="10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DD7B2F" w:rsidRDefault="007B023A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Diversos</w:t>
            </w:r>
          </w:p>
        </w:tc>
      </w:tr>
      <w:tr w:rsidR="009E2C8F" w:rsidRPr="00077F6A" w:rsidTr="009E2C8F">
        <w:tc>
          <w:tcPr>
            <w:tcW w:w="10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8F" w:rsidRPr="000A67DE" w:rsidRDefault="009E2C8F" w:rsidP="00EE1F9D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Manual de instalação, configuração e operação;</w:t>
            </w:r>
          </w:p>
          <w:p w:rsidR="009E2C8F" w:rsidRPr="000A67DE" w:rsidRDefault="009E2C8F" w:rsidP="00EE1F9D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Cabo para conexão na porta de gerenciamento;</w:t>
            </w:r>
          </w:p>
          <w:p w:rsidR="009E2C8F" w:rsidRPr="000A67DE" w:rsidRDefault="009E2C8F" w:rsidP="00EE1F9D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  <w:p w:rsidR="009E2C8F" w:rsidRPr="00EE1F9D" w:rsidRDefault="009E2C8F" w:rsidP="00EE1F9D">
            <w:pPr>
              <w:numPr>
                <w:ilvl w:val="1"/>
                <w:numId w:val="2"/>
              </w:numPr>
              <w:tabs>
                <w:tab w:val="left" w:pos="9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67DE">
              <w:rPr>
                <w:rFonts w:ascii="Arial" w:hAnsi="Arial" w:cs="Arial"/>
                <w:sz w:val="24"/>
                <w:szCs w:val="24"/>
              </w:rPr>
              <w:t>Todas as licenças necessária para o cumprimento dos requisitos deverão ser fornecidas junto com o equipamento;</w:t>
            </w:r>
          </w:p>
          <w:p w:rsidR="00EE1F9D" w:rsidRPr="009D02CE" w:rsidRDefault="00EE1F9D" w:rsidP="00EE1F9D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com as características técnicas de todos os componentes do equipamento ou documento oficial do fabricante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>, incluindo especificação de marca, modelo, e outros elementos que de forma inequívoca identifiquem e comprovem as configurações cotadas, manuais técnicos, folders e demais literaturas técnicas editadas pelos fabricantes. Serão aceitas cópias das especificações obtidas em sítios dos fabricantes na Internet, em que constem o respectivo endereço eletrônico. A escolha do material a ser utilizado fica a critério do proponente;</w:t>
            </w:r>
          </w:p>
          <w:p w:rsidR="00EE1F9D" w:rsidRPr="00324849" w:rsidRDefault="00EE1F9D" w:rsidP="00EE1F9D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Deverá ser fornecida a documentação técnica original de todos os componentes do ha</w:t>
            </w: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t xml:space="preserve">dware, comprovando as características e especificações técnicas solicitadas no edital, visando instalação, operação e administração da máquina. </w:t>
            </w:r>
            <w:r w:rsidRPr="00324849"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:rsidR="00EE1F9D" w:rsidRPr="00324849" w:rsidRDefault="00EE1F9D" w:rsidP="00EE1F9D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 xml:space="preserve">Todos os equipamentos a serem entregues deverão ser idênticos, ou seja, todos os componentes externos e internos de mesmos modelos e marca conforme informados na Proposta Comercial. Caso o componente não mais se encontra disponível no mercado, admitem-se substitutos com qualidade e características idênticas ou 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lastRenderedPageBreak/>
              <w:t>superiores da mesma marca, mediante declaração técnica.</w:t>
            </w:r>
          </w:p>
          <w:p w:rsidR="00EE1F9D" w:rsidRPr="00324849" w:rsidRDefault="00EE1F9D" w:rsidP="00EE1F9D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:rsidR="00EE1F9D" w:rsidRPr="00DD7B2F" w:rsidRDefault="00EE1F9D" w:rsidP="0016067A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067A"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 w:rsidRPr="0016067A">
              <w:rPr>
                <w:rFonts w:ascii="Arial" w:hAnsi="Arial" w:cs="Arial"/>
                <w:bCs/>
                <w:sz w:val="24"/>
                <w:szCs w:val="24"/>
              </w:rPr>
              <w:t xml:space="preserve">, além de estarem todas relacionadas em tabela específica indicando o número da página da documentação onde encontrar sua comprovação, de forma a garantir uma rápida e melhor análise/vistoria. </w:t>
            </w:r>
            <w:bookmarkStart w:id="0" w:name="_GoBack"/>
            <w:bookmarkEnd w:id="0"/>
          </w:p>
        </w:tc>
      </w:tr>
      <w:tr w:rsidR="007B023A" w:rsidRPr="00077F6A" w:rsidTr="007B023A">
        <w:tc>
          <w:tcPr>
            <w:tcW w:w="10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7B023A" w:rsidRPr="00DD7B2F" w:rsidRDefault="007B023A" w:rsidP="00C61B5B">
            <w:pPr>
              <w:keepNext/>
              <w:numPr>
                <w:ilvl w:val="0"/>
                <w:numId w:val="2"/>
              </w:numPr>
              <w:shd w:val="clear" w:color="auto" w:fill="CCCCCC"/>
              <w:tabs>
                <w:tab w:val="left" w:pos="0"/>
              </w:tabs>
              <w:suppressAutoHyphens/>
              <w:snapToGrid w:val="0"/>
              <w:spacing w:line="276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lastRenderedPageBreak/>
              <w:tab/>
            </w:r>
            <w:r w:rsidRPr="00DD7B2F">
              <w:rPr>
                <w:rFonts w:ascii="Arial" w:hAnsi="Arial" w:cs="Arial"/>
                <w:b/>
                <w:bCs/>
                <w:sz w:val="24"/>
                <w:szCs w:val="24"/>
              </w:rPr>
              <w:t>Garantia</w:t>
            </w:r>
          </w:p>
        </w:tc>
      </w:tr>
      <w:tr w:rsidR="007B023A" w:rsidRPr="00077F6A" w:rsidTr="00676590">
        <w:tc>
          <w:tcPr>
            <w:tcW w:w="10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3A" w:rsidRPr="00DD7B2F" w:rsidRDefault="001C31C2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7B2F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  <w:r w:rsidR="007B023A" w:rsidRPr="00DD7B2F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B023A" w:rsidRPr="00DD7B2F">
              <w:rPr>
                <w:rFonts w:ascii="Arial" w:hAnsi="Arial" w:cs="Arial"/>
                <w:sz w:val="24"/>
                <w:szCs w:val="24"/>
                <w:lang w:val="en-US"/>
              </w:rPr>
              <w:t>meses</w:t>
            </w:r>
            <w:proofErr w:type="spellEnd"/>
            <w:r w:rsidR="007B023A" w:rsidRPr="00DD7B2F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:rsidR="007B023A" w:rsidRPr="00DD7B2F" w:rsidRDefault="007B023A" w:rsidP="00C61B5B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>Atendimento on-site, para reposição de peças e mão de obra, na modalidade 8 x 5, com tempo de resposta de até 24 horas, pelo fabricante ou rede de assistência técnica própria ou autorizada.</w:t>
            </w:r>
            <w:r w:rsidRPr="00DD7B2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</w:tbl>
    <w:p w:rsidR="007B023A" w:rsidRDefault="007B023A" w:rsidP="005E749D">
      <w:pPr>
        <w:rPr>
          <w:rFonts w:ascii="Arial" w:hAnsi="Arial" w:cs="Arial"/>
        </w:rPr>
      </w:pPr>
    </w:p>
    <w:p w:rsidR="00E1387A" w:rsidRPr="005E749D" w:rsidRDefault="00E1387A" w:rsidP="005E749D">
      <w:pPr>
        <w:rPr>
          <w:rFonts w:ascii="Arial" w:hAnsi="Arial" w:cs="Arial"/>
        </w:rPr>
      </w:pPr>
    </w:p>
    <w:sectPr w:rsidR="00E1387A" w:rsidRPr="005E749D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3A" w:rsidRDefault="007B023A">
      <w:r>
        <w:separator/>
      </w:r>
    </w:p>
  </w:endnote>
  <w:endnote w:type="continuationSeparator" w:id="0">
    <w:p w:rsidR="007B023A" w:rsidRDefault="007B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16067A" w:rsidP="008E60C8">
    <w:pPr>
      <w:pStyle w:val="Rodap"/>
      <w:jc w:val="center"/>
    </w:pPr>
    <w:r>
      <w:rPr>
        <w:noProof/>
      </w:rPr>
      <w:pict>
        <v:line id="Line 7" o:spid="_x0000_s2049" style="position:absolute;left:0;text-align:left;z-index:251656704;visibility:visibl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</w:pict>
    </w:r>
    <w:r w:rsidR="0016618F">
      <w:t xml:space="preserve">Av. João Batista Parra, 465 - Enseada do </w:t>
    </w:r>
    <w:proofErr w:type="spellStart"/>
    <w:r w:rsidR="0016618F">
      <w:t>Suá</w:t>
    </w:r>
    <w:proofErr w:type="spellEnd"/>
    <w:r w:rsidR="0016618F">
      <w:t xml:space="preserve"> - CEP: 29050-</w:t>
    </w:r>
    <w:r w:rsidR="00066E4D">
      <w:t>925</w:t>
    </w:r>
    <w:r w:rsidR="0016618F">
      <w:t xml:space="preserve"> - </w:t>
    </w:r>
    <w:proofErr w:type="spellStart"/>
    <w:r w:rsidR="0016618F">
      <w:t>Vitória-ES</w:t>
    </w:r>
    <w:proofErr w:type="spellEnd"/>
    <w:r w:rsidR="0016618F">
      <w:t xml:space="preserve"> - Tel</w:t>
    </w:r>
    <w:r w:rsidR="00FC44B6">
      <w:t>.</w:t>
    </w:r>
    <w:r w:rsidR="0016618F">
      <w:t>:</w:t>
    </w:r>
    <w:r w:rsidR="00C02A7C">
      <w:t xml:space="preserve"> (27</w:t>
    </w:r>
    <w:r w:rsidR="000D38F1">
      <w:t>)3224-5914</w:t>
    </w:r>
    <w:r w:rsidR="00E57925">
      <w:t xml:space="preserve"> -</w:t>
    </w:r>
    <w:r w:rsidR="004444E3">
      <w:t xml:space="preserve"> </w:t>
    </w:r>
    <w:r w:rsidR="00E57925">
      <w:t xml:space="preserve">Fax: (27) </w:t>
    </w:r>
    <w:r w:rsidR="000D38F1">
      <w:t>3225-4499</w:t>
    </w:r>
  </w:p>
  <w:p w:rsidR="00DA0CE9" w:rsidRDefault="0016067A" w:rsidP="008E60C8">
    <w:pPr>
      <w:pStyle w:val="Rodap"/>
      <w:jc w:val="center"/>
    </w:pPr>
    <w:hyperlink r:id="rId1" w:history="1">
      <w:r w:rsidR="00DA0CE9" w:rsidRPr="00DD0411">
        <w:rPr>
          <w:rStyle w:val="Hyperlink"/>
        </w:rPr>
        <w:t>www.prodest.es.gov.br</w:t>
      </w:r>
    </w:hyperlink>
  </w:p>
  <w:p w:rsidR="008E60C8" w:rsidRDefault="008E60C8" w:rsidP="005E5F14">
    <w:pPr>
      <w:pStyle w:val="Rodap"/>
      <w:rPr>
        <w:rFonts w:ascii="Arial" w:hAnsi="Arial"/>
        <w:b/>
        <w:sz w:val="12"/>
      </w:rPr>
    </w:pPr>
  </w:p>
  <w:p w:rsidR="0016618F" w:rsidRDefault="0016618F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</w:t>
    </w:r>
    <w:r w:rsidR="006F1F42">
      <w:rPr>
        <w:rFonts w:ascii="Arial" w:hAnsi="Arial"/>
        <w:b/>
        <w:sz w:val="16"/>
      </w:rPr>
      <w:t xml:space="preserve">                 </w:t>
    </w:r>
    <w:r>
      <w:rPr>
        <w:rFonts w:ascii="Arial" w:hAnsi="Arial"/>
        <w:b/>
        <w:sz w:val="16"/>
      </w:rPr>
      <w:t xml:space="preserve"> </w:t>
    </w:r>
    <w:r w:rsidR="005E5F14">
      <w:rPr>
        <w:rFonts w:ascii="Arial" w:hAnsi="Arial"/>
        <w:b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3A" w:rsidRDefault="007B023A">
      <w:r>
        <w:separator/>
      </w:r>
    </w:p>
  </w:footnote>
  <w:footnote w:type="continuationSeparator" w:id="0">
    <w:p w:rsidR="007B023A" w:rsidRDefault="007B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16067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53" type="#_x0000_t75" alt="PRODEST ISO 9001 - ATUAL" style="position:absolute;margin-left:0;margin-top:0;width:144.75pt;height:144.75pt;z-index:251657728;visibility:visible" o:allowincell="f">
          <v:imagedata r:id="rId1" o:title="PRODEST ISO 9001 - ATUAL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9D" w:rsidRDefault="0016067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s2052" type="#_x0000_t75" style="position:absolute;margin-left:415.25pt;margin-top:-1.15pt;width:95.25pt;height:45pt;z-index:251659776;visibility:visible">
          <v:imagedata r:id="rId1" o:title=""/>
        </v:shape>
      </w:pict>
    </w:r>
    <w:r>
      <w:rPr>
        <w:noProof/>
      </w:rPr>
      <w:pict>
        <v:shape id="Imagem 11" o:spid="_x0000_s2051" type="#_x0000_t75" alt="brasaoes" style="position:absolute;margin-left:-.7pt;margin-top:-.75pt;width:43.2pt;height:53.6pt;z-index:251658752;visibility:visible">
          <v:imagedata r:id="rId2" o:title="brasaoes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2.5pt;margin-top:7.85pt;width:386.6pt;height:44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<v:textbox>
            <w:txbxContent>
              <w:p w:rsidR="00770204" w:rsidRPr="00770204" w:rsidRDefault="00770204" w:rsidP="004F0D3F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020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Governo do Estado do Espírito Santo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>Secretaria de Estado de Gestão e Recursos Humanos – SEGER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 xml:space="preserve">Instituto de Tecnologia da Informação e Comunicação do Estado do Espírito Santo 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</w:p>
              <w:p w:rsidR="00472A92" w:rsidRPr="00770204" w:rsidRDefault="00472A92" w:rsidP="00770204">
                <w:pPr>
                  <w:jc w:val="center"/>
                </w:pPr>
              </w:p>
            </w:txbxContent>
          </v:textbox>
        </v:shape>
      </w:pict>
    </w:r>
  </w:p>
  <w:p w:rsidR="005E749D" w:rsidRDefault="005E749D">
    <w:pPr>
      <w:pStyle w:val="Cabealho"/>
    </w:pPr>
  </w:p>
  <w:p w:rsidR="005E749D" w:rsidRDefault="005E749D">
    <w:pPr>
      <w:pStyle w:val="Cabealho"/>
    </w:pPr>
  </w:p>
  <w:p w:rsidR="008E60C8" w:rsidRDefault="008E60C8">
    <w:pPr>
      <w:pStyle w:val="Cabealho"/>
    </w:pPr>
  </w:p>
  <w:p w:rsidR="005E749D" w:rsidRDefault="005E7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240AD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F64044C"/>
    <w:multiLevelType w:val="multilevel"/>
    <w:tmpl w:val="44223B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D26351"/>
    <w:multiLevelType w:val="multilevel"/>
    <w:tmpl w:val="C582A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23A"/>
    <w:rsid w:val="00066E4D"/>
    <w:rsid w:val="000741A0"/>
    <w:rsid w:val="00081A24"/>
    <w:rsid w:val="00087EFD"/>
    <w:rsid w:val="000D38F1"/>
    <w:rsid w:val="00124B99"/>
    <w:rsid w:val="001372BB"/>
    <w:rsid w:val="00144030"/>
    <w:rsid w:val="0016067A"/>
    <w:rsid w:val="0016618F"/>
    <w:rsid w:val="001C31C2"/>
    <w:rsid w:val="0028662F"/>
    <w:rsid w:val="002A4B36"/>
    <w:rsid w:val="002B67FA"/>
    <w:rsid w:val="002F4FC8"/>
    <w:rsid w:val="003E1826"/>
    <w:rsid w:val="0042119E"/>
    <w:rsid w:val="004444E3"/>
    <w:rsid w:val="00455CC9"/>
    <w:rsid w:val="004649C5"/>
    <w:rsid w:val="00470790"/>
    <w:rsid w:val="00472A92"/>
    <w:rsid w:val="004B3BA9"/>
    <w:rsid w:val="004D1D74"/>
    <w:rsid w:val="004F0D3F"/>
    <w:rsid w:val="0053361A"/>
    <w:rsid w:val="00560E12"/>
    <w:rsid w:val="005619FD"/>
    <w:rsid w:val="005E5F14"/>
    <w:rsid w:val="005E749D"/>
    <w:rsid w:val="00610365"/>
    <w:rsid w:val="006E371A"/>
    <w:rsid w:val="006F1F42"/>
    <w:rsid w:val="00711619"/>
    <w:rsid w:val="00770204"/>
    <w:rsid w:val="007B023A"/>
    <w:rsid w:val="007E37E4"/>
    <w:rsid w:val="007E5F0A"/>
    <w:rsid w:val="00810BC2"/>
    <w:rsid w:val="00865184"/>
    <w:rsid w:val="008E60C8"/>
    <w:rsid w:val="00965256"/>
    <w:rsid w:val="00976B01"/>
    <w:rsid w:val="009D2C57"/>
    <w:rsid w:val="009E2C8F"/>
    <w:rsid w:val="00A36772"/>
    <w:rsid w:val="00A517E0"/>
    <w:rsid w:val="00A827CB"/>
    <w:rsid w:val="00AD3068"/>
    <w:rsid w:val="00C02A7C"/>
    <w:rsid w:val="00C61B5B"/>
    <w:rsid w:val="00C808B0"/>
    <w:rsid w:val="00D81F1C"/>
    <w:rsid w:val="00DA0CE9"/>
    <w:rsid w:val="00DA2AC8"/>
    <w:rsid w:val="00DD7B2F"/>
    <w:rsid w:val="00E1387A"/>
    <w:rsid w:val="00E57925"/>
    <w:rsid w:val="00E93DA8"/>
    <w:rsid w:val="00E96148"/>
    <w:rsid w:val="00EE1F9D"/>
    <w:rsid w:val="00F434D9"/>
    <w:rsid w:val="00F47A70"/>
    <w:rsid w:val="00FC44B6"/>
    <w:rsid w:val="00FC54AC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2DF38E60-9EA8-424F-87EC-70F300CC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08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ney.sessa.PRODEST\Documents\Modelos%20Personalizados%20do%20Office\Papel%20Timbrado%20-%20Prode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Prodest.dot</Template>
  <TotalTime>7</TotalTime>
  <Pages>4</Pages>
  <Words>1345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8591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keywords/>
  <cp:lastModifiedBy>Sidney Sessa</cp:lastModifiedBy>
  <cp:revision>6</cp:revision>
  <cp:lastPrinted>2007-04-18T16:40:00Z</cp:lastPrinted>
  <dcterms:created xsi:type="dcterms:W3CDTF">2014-08-11T20:39:00Z</dcterms:created>
  <dcterms:modified xsi:type="dcterms:W3CDTF">2014-12-05T12:12:00Z</dcterms:modified>
</cp:coreProperties>
</file>