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F198" w14:textId="7277A677" w:rsidR="004A72CB" w:rsidRDefault="00CA416B" w:rsidP="00CA416B">
      <w:pPr>
        <w:jc w:val="center"/>
      </w:pPr>
      <w:r w:rsidRPr="00CA416B">
        <w:rPr>
          <w:rFonts w:ascii="Century Gothic" w:hAnsi="Century Gothic"/>
          <w:b/>
          <w:sz w:val="22"/>
        </w:rPr>
        <w:t>Switch de Acesso 24P 2SFP</w:t>
      </w:r>
    </w:p>
    <w:p w14:paraId="16C42E23" w14:textId="77777777" w:rsidR="004A72CB" w:rsidRDefault="004A72CB">
      <w:pPr>
        <w:spacing w:line="276" w:lineRule="auto"/>
        <w:rPr>
          <w:rFonts w:ascii="Century Gothic" w:hAnsi="Century Gothic" w:cs="Tahoma"/>
          <w:szCs w:val="22"/>
        </w:rPr>
      </w:pPr>
    </w:p>
    <w:tbl>
      <w:tblPr>
        <w:tblStyle w:val="Tabelacomgrade"/>
        <w:tblW w:w="991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9912"/>
      </w:tblGrid>
      <w:tr w:rsidR="004A72CB" w14:paraId="39A72A3F" w14:textId="77777777">
        <w:tc>
          <w:tcPr>
            <w:tcW w:w="9912" w:type="dxa"/>
            <w:shd w:val="clear" w:color="auto" w:fill="808080"/>
          </w:tcPr>
          <w:p w14:paraId="7F2AA6FD" w14:textId="77777777" w:rsidR="004A72CB" w:rsidRDefault="00CA416B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line="276" w:lineRule="auto"/>
              <w:jc w:val="center"/>
              <w:outlineLvl w:val="0"/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Switch de Acesso com</w:t>
            </w:r>
            <w:r>
              <w:rPr>
                <w:rFonts w:ascii="Century Gothic" w:eastAsia="Arial" w:hAnsi="Century Gothic" w:cs="Arial"/>
                <w:b/>
                <w:bCs/>
                <w:sz w:val="22"/>
                <w:szCs w:val="22"/>
              </w:rPr>
              <w:t xml:space="preserve"> 24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Portas e 2SFP</w:t>
            </w:r>
          </w:p>
          <w:p w14:paraId="2255338B" w14:textId="71F33C96" w:rsidR="004A72CB" w:rsidRDefault="004A72CB" w:rsidP="00CA416B">
            <w:pPr>
              <w:keepNext/>
              <w:snapToGrid w:val="0"/>
              <w:spacing w:line="276" w:lineRule="auto"/>
              <w:outlineLvl w:val="0"/>
            </w:pPr>
          </w:p>
        </w:tc>
      </w:tr>
      <w:tr w:rsidR="004A72CB" w14:paraId="44F2B394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6A6A6"/>
          </w:tcPr>
          <w:p w14:paraId="5D0C890E" w14:textId="77777777" w:rsidR="004A72CB" w:rsidRDefault="00CA416B">
            <w:pPr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Características Gerais</w:t>
            </w:r>
          </w:p>
        </w:tc>
      </w:tr>
      <w:tr w:rsidR="004A72CB" w14:paraId="43A8CF78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2DE01846" w14:textId="77777777" w:rsidR="004A72CB" w:rsidRDefault="00CA416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090FF14D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Gabinete para instalação em rack de 19”;</w:t>
            </w:r>
          </w:p>
        </w:tc>
      </w:tr>
      <w:tr w:rsidR="004A72CB" w14:paraId="3A0D1ED8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3E2C06C9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Possuir LEDs para a indicação do status das portas e atividade;</w:t>
            </w:r>
          </w:p>
        </w:tc>
      </w:tr>
      <w:tr w:rsidR="004A72CB" w14:paraId="528E394E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2465056F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O equipamento deverá ser capaz de comutar 52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Gbps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; </w:t>
            </w:r>
          </w:p>
        </w:tc>
      </w:tr>
      <w:tr w:rsidR="004A72CB" w14:paraId="46DC87B0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35395834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Possuir capacidade mínima de encaminhamento,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Forwarding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Rate, de 40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Mpps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73F987D2" w14:textId="77777777" w:rsidR="004A72CB" w:rsidRDefault="004A72C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A72CB" w14:paraId="7677DA8C" w14:textId="77777777">
        <w:tc>
          <w:tcPr>
            <w:tcW w:w="9912" w:type="dxa"/>
            <w:shd w:val="clear" w:color="auto" w:fill="A6A6A6"/>
          </w:tcPr>
          <w:p w14:paraId="154E4348" w14:textId="77777777" w:rsidR="004A72CB" w:rsidRDefault="00CA416B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Portas</w:t>
            </w:r>
          </w:p>
        </w:tc>
      </w:tr>
      <w:tr w:rsidR="004A72CB" w14:paraId="2FC8DFD7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6F08324E" w14:textId="77777777" w:rsidR="004A72CB" w:rsidRDefault="004A72C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287EC782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24 Portas 10/100/1000BASE-T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auto-sensing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22B892BB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 Slots SFP compatíveis com padrão 1000Base-X;</w:t>
            </w:r>
          </w:p>
          <w:p w14:paraId="1DE1D4DF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2 Portas para </w:t>
            </w:r>
            <w:r>
              <w:rPr>
                <w:rFonts w:ascii="Century Gothic" w:hAnsi="Century Gothic" w:cs="Arial"/>
                <w:sz w:val="22"/>
                <w:szCs w:val="22"/>
              </w:rPr>
              <w:t>empilhamento com velocidade mínima de 10Gbps, Full Duplex;</w:t>
            </w:r>
          </w:p>
          <w:p w14:paraId="7BB026AE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 Porta de Gerenciamento Ethernet 10/100Base -T ou USB. Será aceita a utilização de um adaptador, que deverá ser fornecido, para a conexão da porta de gerenciamento à porta Ethernet.</w:t>
            </w:r>
          </w:p>
        </w:tc>
      </w:tr>
      <w:tr w:rsidR="004A72CB" w14:paraId="5D4DDB23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4840140C" w14:textId="77777777" w:rsidR="004A72CB" w:rsidRDefault="004A72C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A72CB" w14:paraId="43ACF1E5" w14:textId="77777777">
        <w:tc>
          <w:tcPr>
            <w:tcW w:w="9912" w:type="dxa"/>
            <w:shd w:val="clear" w:color="auto" w:fill="A6A6A6"/>
          </w:tcPr>
          <w:p w14:paraId="0EDCB232" w14:textId="77777777" w:rsidR="004A72CB" w:rsidRDefault="00CA416B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Empilhament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o</w:t>
            </w:r>
          </w:p>
        </w:tc>
      </w:tr>
      <w:tr w:rsidR="004A72CB" w14:paraId="19C1EE2B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5CC8ADD7" w14:textId="77777777" w:rsidR="004A72CB" w:rsidRDefault="004A72C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A72CB" w14:paraId="52DDE085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3FDAB206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ao empilhamento de, no mínimo, 04 (quatro) equipamentos. As unidades empilhadas deverão ser visualizadas e gerenciadas como um único equipamento. </w:t>
            </w:r>
          </w:p>
          <w:p w14:paraId="43EC782E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Em caso de falha de qualquer equipamento da pilha, as demais unidades deverão permanecer operacionais</w:t>
            </w:r>
            <w:r>
              <w:rPr>
                <w:rFonts w:ascii="Century Gothic" w:hAnsi="Century Gothic" w:cs="Arial"/>
                <w:sz w:val="22"/>
                <w:szCs w:val="22"/>
              </w:rPr>
              <w:t>, sem perda de desempenho;</w:t>
            </w:r>
          </w:p>
          <w:p w14:paraId="61CB5B0B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666" w:hanging="66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Deverá acompanhar todos os cabos, adaptadores e softwares necessários ao empilhamento dos equipamentos do mesmo item;</w:t>
            </w:r>
          </w:p>
          <w:p w14:paraId="5170A922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666" w:hanging="66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Deverá permitir empilhamento com os demais Switches de Acesso deste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mesmoLote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; </w:t>
            </w:r>
          </w:p>
          <w:p w14:paraId="6A156C05" w14:textId="77777777" w:rsidR="004A72CB" w:rsidRDefault="00CA416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4A72CB" w14:paraId="52F84FED" w14:textId="77777777">
        <w:tc>
          <w:tcPr>
            <w:tcW w:w="9912" w:type="dxa"/>
            <w:shd w:val="clear" w:color="auto" w:fill="A6A6A6"/>
          </w:tcPr>
          <w:p w14:paraId="24FB2CF4" w14:textId="77777777" w:rsidR="004A72CB" w:rsidRDefault="00CA416B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Gerenciamento</w:t>
            </w:r>
          </w:p>
        </w:tc>
      </w:tr>
      <w:tr w:rsidR="004A72CB" w14:paraId="1280515D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1B1F1549" w14:textId="77777777" w:rsidR="004A72CB" w:rsidRDefault="004A72C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A72CB" w14:paraId="5C7A2D2D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5FBE06F8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armazenamento de, no mínimo, duas versões de firmware;</w:t>
            </w:r>
          </w:p>
          <w:p w14:paraId="181E3C0D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armazenamento de, no mínimo, 2 arquivos de configuração;</w:t>
            </w:r>
          </w:p>
          <w:p w14:paraId="5AF27E09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protocolo SNMP v1 e SNMP v2;</w:t>
            </w:r>
          </w:p>
          <w:p w14:paraId="23DA0BC5" w14:textId="77777777" w:rsidR="004A72CB" w:rsidRDefault="00CA416B">
            <w:pPr>
              <w:numPr>
                <w:ilvl w:val="1"/>
                <w:numId w:val="18"/>
              </w:numPr>
              <w:tabs>
                <w:tab w:val="left" w:pos="993"/>
              </w:tabs>
              <w:spacing w:line="276" w:lineRule="auto"/>
              <w:ind w:left="0" w:firstLine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Permitir a gravação de log externo com 02 grupos de monitoramento remoto;</w:t>
            </w:r>
          </w:p>
          <w:p w14:paraId="7F0238A3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Interface de configuração via linhas de comando (CLI) acessível pela porta de gerenciamento, Telnet e SSH;</w:t>
            </w:r>
          </w:p>
          <w:p w14:paraId="1343CEA3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Interface de configuração web, utilizando protocolo HTTPS;</w:t>
            </w:r>
          </w:p>
          <w:p w14:paraId="2B5AFBCA" w14:textId="77777777" w:rsidR="004A72CB" w:rsidRDefault="004A72C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A72CB" w14:paraId="3FD6A2D8" w14:textId="77777777">
        <w:tc>
          <w:tcPr>
            <w:tcW w:w="9912" w:type="dxa"/>
            <w:shd w:val="clear" w:color="auto" w:fill="A6A6A6"/>
          </w:tcPr>
          <w:p w14:paraId="56240B69" w14:textId="77777777" w:rsidR="004A72CB" w:rsidRDefault="00CA416B">
            <w:pPr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Funções de Camada 2</w:t>
            </w:r>
          </w:p>
        </w:tc>
      </w:tr>
      <w:tr w:rsidR="004A72CB" w14:paraId="0C712783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2832214C" w14:textId="77777777" w:rsidR="004A72CB" w:rsidRDefault="004A72C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26341882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Tabela de endereços MAC com capacidade mínima de 8000 </w:t>
            </w:r>
            <w:r>
              <w:rPr>
                <w:rFonts w:ascii="Century Gothic" w:hAnsi="Century Gothic" w:cs="Arial"/>
                <w:sz w:val="22"/>
                <w:szCs w:val="22"/>
              </w:rPr>
              <w:t>entradas;</w:t>
            </w:r>
          </w:p>
          <w:p w14:paraId="379CFA09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a, no mínimo, 255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VLANs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1C30F7B3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ao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IEEE 802.1w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Rapid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spanning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Tree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1D9B4BFF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IEEE 802.1s Multiple Spanning Tree;</w:t>
            </w:r>
          </w:p>
          <w:p w14:paraId="69BF316D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lastRenderedPageBreak/>
              <w:t>IEEE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>802.1p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QoS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>;</w:t>
            </w:r>
          </w:p>
          <w:p w14:paraId="66D820DA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IEEE 802.1Q VLAN</w:t>
            </w:r>
            <w:r>
              <w:rPr>
                <w:rFonts w:ascii="Century Gothic" w:hAnsi="Century Gothic"/>
                <w:sz w:val="22"/>
                <w:szCs w:val="22"/>
              </w:rPr>
              <w:t>;</w:t>
            </w:r>
          </w:p>
        </w:tc>
      </w:tr>
      <w:tr w:rsidR="004A72CB" w14:paraId="28CCEC55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6C0577AC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Suporte ao protocolo IEEE 802.3ad, e capacidade de agregação de até 04 </w:t>
            </w:r>
            <w:r>
              <w:rPr>
                <w:rFonts w:ascii="Century Gothic" w:hAnsi="Century Gothic" w:cs="Arial"/>
                <w:sz w:val="22"/>
                <w:szCs w:val="22"/>
              </w:rPr>
              <w:t>portas físicas por tronco e quatro troncos por equipamento;</w:t>
            </w:r>
          </w:p>
        </w:tc>
      </w:tr>
      <w:tr w:rsidR="004A72CB" w14:paraId="7B5CA37F" w14:textId="77777777">
        <w:tc>
          <w:tcPr>
            <w:tcW w:w="9912" w:type="dxa"/>
            <w:tcBorders>
              <w:top w:val="nil"/>
            </w:tcBorders>
            <w:shd w:val="clear" w:color="auto" w:fill="auto"/>
          </w:tcPr>
          <w:p w14:paraId="5893539E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 NTP (Network Time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) ou SNTP 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Simple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Network Time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); </w:t>
            </w:r>
          </w:p>
          <w:p w14:paraId="26FBACF7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Permitir o espelhamento de portas, N –1 (Várias portas de origem e 1 porta de destino) e 1 – 1 (1 porta de origem e </w:t>
            </w:r>
            <w:r>
              <w:rPr>
                <w:rFonts w:ascii="Century Gothic" w:hAnsi="Century Gothic" w:cs="Arial"/>
                <w:sz w:val="22"/>
                <w:szCs w:val="22"/>
              </w:rPr>
              <w:t>1 porta de destino);</w:t>
            </w:r>
          </w:p>
          <w:p w14:paraId="20274E08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 IGPM v1 ou IGPM v2;</w:t>
            </w:r>
          </w:p>
          <w:p w14:paraId="1EE95BA1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O equipamento ofertado deve implementar jumbo frames de até 9000 bytes.</w:t>
            </w:r>
          </w:p>
          <w:p w14:paraId="796CF757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Suporte a controle de acesso por porta, definido pelo Mac-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ou através de autenticação utilizando o protocolo 802.1x;</w:t>
            </w:r>
          </w:p>
          <w:p w14:paraId="6459CC39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Suporte a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controle de quantidade de pacotes broadcast,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multicast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unicast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por porta;</w:t>
            </w:r>
          </w:p>
          <w:p w14:paraId="63FC9E37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Suporte a DHCP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snooping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>;</w:t>
            </w:r>
          </w:p>
          <w:p w14:paraId="6D4E9951" w14:textId="77777777" w:rsidR="004A72CB" w:rsidRDefault="004A72C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A72CB" w14:paraId="11819B11" w14:textId="77777777">
        <w:tc>
          <w:tcPr>
            <w:tcW w:w="9912" w:type="dxa"/>
            <w:shd w:val="clear" w:color="auto" w:fill="A6A6A6"/>
          </w:tcPr>
          <w:p w14:paraId="2BF92EB5" w14:textId="77777777" w:rsidR="004A72CB" w:rsidRDefault="00CA416B">
            <w:pPr>
              <w:keepNext/>
              <w:numPr>
                <w:ilvl w:val="0"/>
                <w:numId w:val="18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Qualidade de Serviço</w:t>
            </w:r>
          </w:p>
        </w:tc>
      </w:tr>
      <w:tr w:rsidR="004A72CB" w14:paraId="7AA46236" w14:textId="77777777">
        <w:tc>
          <w:tcPr>
            <w:tcW w:w="9912" w:type="dxa"/>
            <w:shd w:val="clear" w:color="auto" w:fill="auto"/>
          </w:tcPr>
          <w:p w14:paraId="34268F54" w14:textId="77777777" w:rsidR="004A72CB" w:rsidRDefault="004A72CB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</w:p>
          <w:p w14:paraId="46554D2D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O equipamento ofertado deve permitir priorização de tráfego usando pelo menos 4 filas de priorização por porta. </w:t>
            </w:r>
          </w:p>
          <w:p w14:paraId="517E9203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O equipamento ofertado deve permitir classificação e priorização do tráfego recebido de acordo com os seguintes critérios: porta física de entr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ada, campo PCP do protocolo IEEE 802.1p, campo DSCP usando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DiffServ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ACLs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para IPv4. </w:t>
            </w:r>
          </w:p>
          <w:p w14:paraId="7FB44EAF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O equipamento ofertado deve permitir a marcação de pacotes para transmissão para outros equipamentos com base nos seguintes critérios: prioridade definida pelo protocolo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IEEE 802.1p (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CoS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)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DiffServ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(DSCP). </w:t>
            </w:r>
          </w:p>
          <w:p w14:paraId="433B885C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O equipamento ofertado deve implementar pelos menos dois entre os seguintes métodos para utilização das filas de priorização: </w:t>
            </w:r>
          </w:p>
          <w:p w14:paraId="5DEB03C4" w14:textId="77777777" w:rsidR="004A72CB" w:rsidRDefault="00CA416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Weighted Fair Queueing (WFQ), </w:t>
            </w:r>
          </w:p>
          <w:p w14:paraId="1BFC67F2" w14:textId="77777777" w:rsidR="004A72CB" w:rsidRDefault="00CA416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Weighted Tail Drop (WTD), </w:t>
            </w:r>
          </w:p>
          <w:p w14:paraId="3D2C7E6A" w14:textId="77777777" w:rsidR="004A72CB" w:rsidRDefault="00CA416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SRR (Shaped Round-Robin) </w:t>
            </w:r>
          </w:p>
          <w:p w14:paraId="6EFA77A1" w14:textId="77777777" w:rsidR="004A72CB" w:rsidRDefault="00CA416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SDWRR (Shaped Deficit Weighted Round-Robin) </w:t>
            </w:r>
          </w:p>
          <w:p w14:paraId="19CC5480" w14:textId="77777777" w:rsidR="004A72CB" w:rsidRDefault="00CA416B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>WRR (Weighted Round Robin)) e Strict Priority (SP)</w:t>
            </w:r>
          </w:p>
          <w:p w14:paraId="4ED27376" w14:textId="77777777" w:rsidR="004A72CB" w:rsidRDefault="004A72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A72CB" w14:paraId="56AAEE0E" w14:textId="77777777">
        <w:tc>
          <w:tcPr>
            <w:tcW w:w="9912" w:type="dxa"/>
            <w:shd w:val="clear" w:color="auto" w:fill="A6A6A6"/>
          </w:tcPr>
          <w:p w14:paraId="0F58A47C" w14:textId="77777777" w:rsidR="004A72CB" w:rsidRDefault="00CA416B">
            <w:pPr>
              <w:keepNext/>
              <w:numPr>
                <w:ilvl w:val="0"/>
                <w:numId w:val="18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Alimentação</w:t>
            </w:r>
          </w:p>
        </w:tc>
      </w:tr>
      <w:tr w:rsidR="004A72CB" w14:paraId="11FF89BE" w14:textId="77777777">
        <w:tc>
          <w:tcPr>
            <w:tcW w:w="9912" w:type="dxa"/>
            <w:shd w:val="clear" w:color="auto" w:fill="auto"/>
          </w:tcPr>
          <w:p w14:paraId="767B7416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Fonte de alimentação interna, com seleção automática de tensão entre 110V e 220V;</w:t>
            </w:r>
          </w:p>
          <w:p w14:paraId="79216A7F" w14:textId="77777777" w:rsidR="004A72CB" w:rsidRDefault="00CA416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4A72CB" w14:paraId="1852F6EE" w14:textId="77777777">
        <w:tc>
          <w:tcPr>
            <w:tcW w:w="9912" w:type="dxa"/>
            <w:shd w:val="clear" w:color="auto" w:fill="A6A6A6"/>
          </w:tcPr>
          <w:p w14:paraId="1353FE64" w14:textId="77777777" w:rsidR="004A72CB" w:rsidRDefault="00CA416B">
            <w:pPr>
              <w:keepNext/>
              <w:numPr>
                <w:ilvl w:val="0"/>
                <w:numId w:val="18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Diversos</w:t>
            </w:r>
          </w:p>
        </w:tc>
      </w:tr>
      <w:tr w:rsidR="004A72CB" w14:paraId="0F42D5FB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41D7CF91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Manual de </w:t>
            </w:r>
            <w:r>
              <w:rPr>
                <w:rFonts w:ascii="Century Gothic" w:hAnsi="Century Gothic" w:cs="Arial"/>
                <w:sz w:val="22"/>
                <w:szCs w:val="22"/>
              </w:rPr>
              <w:t>instalação, configuração e operação;</w:t>
            </w:r>
          </w:p>
        </w:tc>
      </w:tr>
      <w:tr w:rsidR="004A72CB" w14:paraId="31217C6A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1217ABAB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O equipamento deverá ser novo e constar na linha de comercialização do fabricante;</w:t>
            </w:r>
          </w:p>
        </w:tc>
      </w:tr>
      <w:tr w:rsidR="004A72CB" w14:paraId="0DACA1F3" w14:textId="77777777">
        <w:tc>
          <w:tcPr>
            <w:tcW w:w="9912" w:type="dxa"/>
            <w:tcBorders>
              <w:top w:val="nil"/>
            </w:tcBorders>
            <w:shd w:val="clear" w:color="auto" w:fill="auto"/>
          </w:tcPr>
          <w:p w14:paraId="6CAEB84F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Todas as licenças necessárias para o cumprimento dos requisitos deverão ser fornecidas junto com o equipamento, sem prazo de </w:t>
            </w:r>
            <w:r>
              <w:rPr>
                <w:rFonts w:ascii="Century Gothic" w:hAnsi="Century Gothic" w:cs="Arial"/>
                <w:sz w:val="22"/>
                <w:szCs w:val="22"/>
              </w:rPr>
              <w:t>validade;</w:t>
            </w:r>
          </w:p>
          <w:p w14:paraId="05E1ABAF" w14:textId="77777777" w:rsidR="004A72CB" w:rsidRDefault="00CA416B">
            <w:pPr>
              <w:numPr>
                <w:ilvl w:val="1"/>
                <w:numId w:val="18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Todos os equipamentos a serem entregues deverão ser idênticos, ou seja, todos os componentes externos e internos de mesmos modelos e marca conforme informados na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lastRenderedPageBreak/>
              <w:t>Proposta Comercial. Caso o componente não mais se encontra disponível no mercado, ad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mitem-se substitutos com qualidade e características idênticas ou superiores da mesma marca, mediante declaração técnica.</w:t>
            </w:r>
          </w:p>
          <w:p w14:paraId="3D840B27" w14:textId="77777777" w:rsidR="004A72CB" w:rsidRDefault="004A72C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A72CB" w14:paraId="164EDD6C" w14:textId="77777777">
        <w:tc>
          <w:tcPr>
            <w:tcW w:w="9912" w:type="dxa"/>
            <w:shd w:val="clear" w:color="auto" w:fill="A6A6A6"/>
          </w:tcPr>
          <w:p w14:paraId="32CDA565" w14:textId="77777777" w:rsidR="004A72CB" w:rsidRDefault="00CA416B">
            <w:pPr>
              <w:keepNext/>
              <w:numPr>
                <w:ilvl w:val="0"/>
                <w:numId w:val="18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Garantia</w:t>
            </w:r>
          </w:p>
        </w:tc>
      </w:tr>
      <w:tr w:rsidR="004A72CB" w14:paraId="245BE86D" w14:textId="77777777">
        <w:tc>
          <w:tcPr>
            <w:tcW w:w="9912" w:type="dxa"/>
            <w:shd w:val="clear" w:color="auto" w:fill="auto"/>
          </w:tcPr>
          <w:p w14:paraId="6A9147E2" w14:textId="77777777" w:rsidR="004A72CB" w:rsidRDefault="004A72CB">
            <w:pPr>
              <w:spacing w:line="276" w:lineRule="auto"/>
              <w:ind w:left="432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14:paraId="627F8629" w14:textId="77777777" w:rsidR="004A72CB" w:rsidRDefault="00CA416B">
            <w:pPr>
              <w:numPr>
                <w:ilvl w:val="1"/>
                <w:numId w:val="18"/>
              </w:numPr>
              <w:suppressAutoHyphens w:val="0"/>
              <w:spacing w:line="276" w:lineRule="auto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60 meses;</w:t>
            </w:r>
          </w:p>
          <w:p w14:paraId="514AC3A9" w14:textId="77777777" w:rsidR="004A72CB" w:rsidRDefault="00CA416B">
            <w:pPr>
              <w:pStyle w:val="PargrafodaLista"/>
              <w:numPr>
                <w:ilvl w:val="1"/>
                <w:numId w:val="18"/>
              </w:numPr>
              <w:suppressAutoHyphens w:val="0"/>
              <w:spacing w:line="276" w:lineRule="auto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 xml:space="preserve">O fabricante deverá fornecer atualizações de firmware de forma gratuita por todo o período de garantia do </w:t>
            </w:r>
            <w:r>
              <w:rPr>
                <w:rFonts w:ascii="Century Gothic" w:hAnsi="Century Gothic" w:cs="Tahoma"/>
                <w:sz w:val="22"/>
              </w:rPr>
              <w:t>equipamento;</w:t>
            </w:r>
          </w:p>
          <w:p w14:paraId="3C411265" w14:textId="77777777" w:rsidR="004A72CB" w:rsidRDefault="00CA416B">
            <w:pPr>
              <w:numPr>
                <w:ilvl w:val="1"/>
                <w:numId w:val="18"/>
              </w:numPr>
              <w:suppressAutoHyphens w:val="0"/>
              <w:spacing w:line="276" w:lineRule="auto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O fabricante deverá disponibilizar central de contato para a solicitação do serviço de garantia via, no mínimo, site web e e-mail;</w:t>
            </w:r>
          </w:p>
          <w:p w14:paraId="276B8B07" w14:textId="77777777" w:rsidR="004A72CB" w:rsidRDefault="00CA416B">
            <w:pPr>
              <w:numPr>
                <w:ilvl w:val="1"/>
                <w:numId w:val="18"/>
              </w:numPr>
              <w:suppressAutoHyphens w:val="0"/>
              <w:spacing w:line="276" w:lineRule="auto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 Caso seja necessária a substituição de alguma peça ou equipamento, o mesmo deverá ser realizado no prazo máximo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 2 dias úteis após abertura do chamado.</w:t>
            </w:r>
          </w:p>
          <w:p w14:paraId="63C15951" w14:textId="77777777" w:rsidR="004A72CB" w:rsidRDefault="00CA416B">
            <w:pPr>
              <w:pStyle w:val="PargrafodaLista"/>
              <w:numPr>
                <w:ilvl w:val="1"/>
                <w:numId w:val="18"/>
              </w:num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Ficará a cargo da CONTRATADA ou fabricante o envio do produto substituto e sua entrega em local definido pela CONTRATANTE, bem como a remoção do equipamento afetado pela garantia prestada, trâmites e eventuais de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spesas de devolução dos mesmos ao fabricante. Esta remoção se dará em até 5 dias úteis a partir de disponibilizado o equipamento pela CONTRATANTE.</w:t>
            </w:r>
          </w:p>
          <w:p w14:paraId="0B8C6719" w14:textId="77777777" w:rsidR="004A72CB" w:rsidRDefault="004A72CB">
            <w:pPr>
              <w:pStyle w:val="PargrafodaLista"/>
              <w:spacing w:line="276" w:lineRule="auto"/>
              <w:ind w:left="792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4F055DE" w14:textId="77777777" w:rsidR="004A72CB" w:rsidRDefault="004A72C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sectPr w:rsidR="004A72CB">
      <w:headerReference w:type="default" r:id="rId8"/>
      <w:footerReference w:type="default" r:id="rId9"/>
      <w:pgSz w:w="11906" w:h="16838"/>
      <w:pgMar w:top="624" w:right="851" w:bottom="284" w:left="851" w:header="567" w:footer="84" w:gutter="0"/>
      <w:cols w:space="720"/>
      <w:formProt w:val="0"/>
      <w:docGrid w:linePitch="100" w:charSpace="114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597B" w14:textId="77777777" w:rsidR="00000000" w:rsidRDefault="00CA416B">
      <w:r>
        <w:separator/>
      </w:r>
    </w:p>
  </w:endnote>
  <w:endnote w:type="continuationSeparator" w:id="0">
    <w:p w14:paraId="2862D034" w14:textId="77777777" w:rsidR="00000000" w:rsidRDefault="00CA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DE0E" w14:textId="77777777" w:rsidR="004A72CB" w:rsidRDefault="00CA416B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9" behindDoc="1" locked="0" layoutInCell="1" allowOverlap="1" wp14:anchorId="1316C39C" wp14:editId="6B5AF27D">
              <wp:simplePos x="0" y="0"/>
              <wp:positionH relativeFrom="column">
                <wp:posOffset>133350</wp:posOffset>
              </wp:positionH>
              <wp:positionV relativeFrom="paragraph">
                <wp:posOffset>281940</wp:posOffset>
              </wp:positionV>
              <wp:extent cx="6497955" cy="34925"/>
              <wp:effectExtent l="0" t="0" r="19050" b="24130"/>
              <wp:wrapNone/>
              <wp:docPr id="10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7280" cy="21600"/>
                      </a:xfrm>
                      <a:prstGeom prst="line">
                        <a:avLst/>
                      </a:prstGeom>
                      <a:ln w="190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5pt,22.2pt" to="522.05pt,23.85pt" ID="Line 7" stroked="f" style="position:absolute" wp14:anchorId="4F1FD8F2">
              <v:stroke color="#3465a4" weight="19080" joinstyle="round" endcap="flat"/>
              <v:fill o:detectmouseclick="t" on="false"/>
            </v:line>
          </w:pict>
        </mc:Fallback>
      </mc:AlternateContent>
    </w:r>
    <w:r>
      <w:t xml:space="preserve">Av. João Batista Parra, 465 - Enseada do </w:t>
    </w:r>
    <w:proofErr w:type="spellStart"/>
    <w:r>
      <w:t>Suá</w:t>
    </w:r>
    <w:proofErr w:type="spellEnd"/>
    <w:r>
      <w:t xml:space="preserve"> - CEP: 29050-925 - </w:t>
    </w:r>
    <w:proofErr w:type="spellStart"/>
    <w:r>
      <w:t>Vitória-ES</w:t>
    </w:r>
    <w:proofErr w:type="spellEnd"/>
    <w:r>
      <w:t xml:space="preserve"> - Tel.: (27)3224-5914 - Fax: (27) 3225-4499</w:t>
    </w:r>
  </w:p>
  <w:p w14:paraId="313E99C0" w14:textId="77777777" w:rsidR="004A72CB" w:rsidRDefault="00CA416B">
    <w:pPr>
      <w:pStyle w:val="Rodap"/>
      <w:jc w:val="center"/>
    </w:pPr>
    <w:hyperlink r:id="rId1">
      <w:r>
        <w:rPr>
          <w:rStyle w:val="Hyperlink"/>
        </w:rPr>
        <w:t>www.prodest.es.gov.br</w:t>
      </w:r>
    </w:hyperlink>
  </w:p>
  <w:p w14:paraId="499D2C59" w14:textId="77777777" w:rsidR="004A72CB" w:rsidRDefault="004A72CB">
    <w:pPr>
      <w:pStyle w:val="Rodap"/>
      <w:rPr>
        <w:rFonts w:ascii="Arial" w:hAnsi="Arial"/>
        <w:b/>
        <w:sz w:val="12"/>
      </w:rPr>
    </w:pPr>
  </w:p>
  <w:p w14:paraId="2DBB24C1" w14:textId="77777777" w:rsidR="004A72CB" w:rsidRDefault="00CA416B">
    <w:pPr>
      <w:pStyle w:val="Rodap"/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4AEA" w14:textId="77777777" w:rsidR="00000000" w:rsidRDefault="00CA416B">
      <w:r>
        <w:separator/>
      </w:r>
    </w:p>
  </w:footnote>
  <w:footnote w:type="continuationSeparator" w:id="0">
    <w:p w14:paraId="6564E489" w14:textId="77777777" w:rsidR="00000000" w:rsidRDefault="00CA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6BB7" w14:textId="77777777" w:rsidR="004A72CB" w:rsidRDefault="00CA416B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45" behindDoc="1" locked="0" layoutInCell="1" allowOverlap="1" wp14:anchorId="2718748A" wp14:editId="703B88D4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30775" cy="582295"/>
              <wp:effectExtent l="0" t="0" r="508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200" cy="5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B1595CE" w14:textId="77777777" w:rsidR="004A72CB" w:rsidRDefault="00CA416B">
                          <w:pPr>
                            <w:pStyle w:val="FrameContents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Governo do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Estado do Espírito Santo</w:t>
                          </w:r>
                        </w:p>
                        <w:p w14:paraId="2620C4FF" w14:textId="77777777" w:rsidR="004A72CB" w:rsidRDefault="00CA416B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Secretaria de Estado de Gestão e Recursos Humanos – SEGER</w:t>
                          </w:r>
                        </w:p>
                        <w:p w14:paraId="52323736" w14:textId="77777777" w:rsidR="004A72CB" w:rsidRDefault="00CA416B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14:paraId="6B7D04E1" w14:textId="77777777" w:rsidR="004A72CB" w:rsidRDefault="004A72CB">
                          <w:pPr>
                            <w:pStyle w:val="FrameContents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36312C04" w14:textId="77777777" w:rsidR="004A72CB" w:rsidRDefault="004A72CB">
                          <w:pPr>
                            <w:pStyle w:val="FrameContents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fillcolor="white" stroked="f" style="position:absolute;margin-left:42.5pt;margin-top:7.85pt;width:388.15pt;height:45.75pt" wp14:anchorId="5E7D3471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rFonts w:ascii="Arial" w:hAnsi="Arial" w:cs="Arial"/>
                        <w:b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Governo do Estado do Espírito Santo</w:t>
                    </w:r>
                  </w:p>
                  <w:p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  <w:color w:val="000000"/>
                      </w:rPr>
                      <w:t>Secretaria de Estado de Gestão e Recursos Humanos – SEGER</w:t>
                    </w:r>
                  </w:p>
                  <w:p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  <w:color w:val="000000"/>
                      </w:rPr>
                      <w:t xml:space="preserve">Instituto de Tecnologia da Informação e Comunicação do Estado do Espírito Santo </w:t>
                    </w:r>
                  </w:p>
                  <w:p>
                    <w:pPr>
                      <w:pStyle w:val="FrameContents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cs="Arial" w:ascii="Arial" w:hAnsi="Arial"/>
                        <w:color w:val="000000"/>
                      </w:rPr>
                    </w:r>
                  </w:p>
                  <w:p>
                    <w:pPr>
                      <w:pStyle w:val="FrameContents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33" behindDoc="1" locked="0" layoutInCell="1" allowOverlap="1" wp14:anchorId="36FD1DC9" wp14:editId="276C69BC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0" b="0"/>
          <wp:wrapNone/>
          <wp:docPr id="8" name="Image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" descr="brasao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77" behindDoc="1" locked="0" layoutInCell="1" allowOverlap="1" wp14:anchorId="0521103E" wp14:editId="6078BDD0">
          <wp:simplePos x="0" y="0"/>
          <wp:positionH relativeFrom="column">
            <wp:posOffset>5273675</wp:posOffset>
          </wp:positionH>
          <wp:positionV relativeFrom="paragraph">
            <wp:posOffset>-14605</wp:posOffset>
          </wp:positionV>
          <wp:extent cx="1209675" cy="571500"/>
          <wp:effectExtent l="0" t="0" r="0" b="0"/>
          <wp:wrapNone/>
          <wp:docPr id="9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92386" w14:textId="77777777" w:rsidR="004A72CB" w:rsidRDefault="004A72CB">
    <w:pPr>
      <w:pStyle w:val="Cabealho"/>
    </w:pPr>
  </w:p>
  <w:p w14:paraId="77E48F90" w14:textId="77777777" w:rsidR="004A72CB" w:rsidRDefault="004A72CB">
    <w:pPr>
      <w:pStyle w:val="Cabealho"/>
    </w:pPr>
  </w:p>
  <w:p w14:paraId="166476E2" w14:textId="77777777" w:rsidR="004A72CB" w:rsidRDefault="004A72CB">
    <w:pPr>
      <w:pStyle w:val="Cabealho"/>
    </w:pPr>
  </w:p>
  <w:p w14:paraId="27318169" w14:textId="77777777" w:rsidR="004A72CB" w:rsidRDefault="004A72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9E0"/>
    <w:multiLevelType w:val="multilevel"/>
    <w:tmpl w:val="281C08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A3782"/>
    <w:multiLevelType w:val="multilevel"/>
    <w:tmpl w:val="452275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480351"/>
    <w:multiLevelType w:val="multilevel"/>
    <w:tmpl w:val="DED64D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A22D4E"/>
    <w:multiLevelType w:val="multilevel"/>
    <w:tmpl w:val="8B826A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F3A60B9"/>
    <w:multiLevelType w:val="multilevel"/>
    <w:tmpl w:val="B43860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5" w15:restartNumberingAfterBreak="0">
    <w:nsid w:val="14AA71F9"/>
    <w:multiLevelType w:val="multilevel"/>
    <w:tmpl w:val="4F946D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1734593E"/>
    <w:multiLevelType w:val="multilevel"/>
    <w:tmpl w:val="E65266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9BA1E1F"/>
    <w:multiLevelType w:val="multilevel"/>
    <w:tmpl w:val="7CEE13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664BA7"/>
    <w:multiLevelType w:val="multilevel"/>
    <w:tmpl w:val="1408DB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1BA37B9A"/>
    <w:multiLevelType w:val="multilevel"/>
    <w:tmpl w:val="13BC60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25247D76"/>
    <w:multiLevelType w:val="multilevel"/>
    <w:tmpl w:val="C2108E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29E31D48"/>
    <w:multiLevelType w:val="multilevel"/>
    <w:tmpl w:val="F7C4BE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B2F61C8"/>
    <w:multiLevelType w:val="multilevel"/>
    <w:tmpl w:val="E7A408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372918"/>
    <w:multiLevelType w:val="multilevel"/>
    <w:tmpl w:val="7020047C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4" w15:restartNumberingAfterBreak="0">
    <w:nsid w:val="2C2B2662"/>
    <w:multiLevelType w:val="multilevel"/>
    <w:tmpl w:val="89E6C5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35C75026"/>
    <w:multiLevelType w:val="multilevel"/>
    <w:tmpl w:val="1626F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97A3D70"/>
    <w:multiLevelType w:val="multilevel"/>
    <w:tmpl w:val="699E52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42C24D02"/>
    <w:multiLevelType w:val="multilevel"/>
    <w:tmpl w:val="04E2B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490E7542"/>
    <w:multiLevelType w:val="multilevel"/>
    <w:tmpl w:val="89A87C6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9" w15:restartNumberingAfterBreak="0">
    <w:nsid w:val="4ADE5AD1"/>
    <w:multiLevelType w:val="multilevel"/>
    <w:tmpl w:val="7812EC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4B4E3C90"/>
    <w:multiLevelType w:val="multilevel"/>
    <w:tmpl w:val="474CC5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4D992A34"/>
    <w:multiLevelType w:val="multilevel"/>
    <w:tmpl w:val="74E018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6FD7320"/>
    <w:multiLevelType w:val="multilevel"/>
    <w:tmpl w:val="EB6AC2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5A216AA2"/>
    <w:multiLevelType w:val="multilevel"/>
    <w:tmpl w:val="1C8C94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5A330D17"/>
    <w:multiLevelType w:val="multilevel"/>
    <w:tmpl w:val="A90A87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640E43E3"/>
    <w:multiLevelType w:val="multilevel"/>
    <w:tmpl w:val="222E8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64CC38C5"/>
    <w:multiLevelType w:val="multilevel"/>
    <w:tmpl w:val="5E32F8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2A29E5"/>
    <w:multiLevelType w:val="multilevel"/>
    <w:tmpl w:val="ED14B6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6E2306D6"/>
    <w:multiLevelType w:val="multilevel"/>
    <w:tmpl w:val="D696DB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</w:abstractNum>
  <w:abstractNum w:abstractNumId="29" w15:restartNumberingAfterBreak="0">
    <w:nsid w:val="708438CC"/>
    <w:multiLevelType w:val="multilevel"/>
    <w:tmpl w:val="4EC650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73A25422"/>
    <w:multiLevelType w:val="multilevel"/>
    <w:tmpl w:val="EBF6D8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74AC44BB"/>
    <w:multiLevelType w:val="multilevel"/>
    <w:tmpl w:val="1F8EEC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752F6071"/>
    <w:multiLevelType w:val="multilevel"/>
    <w:tmpl w:val="5860BF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Ttulo5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75CF52A6"/>
    <w:multiLevelType w:val="multilevel"/>
    <w:tmpl w:val="D3249C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75F17B22"/>
    <w:multiLevelType w:val="multilevel"/>
    <w:tmpl w:val="2EB6703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75FB002F"/>
    <w:multiLevelType w:val="multilevel"/>
    <w:tmpl w:val="5E7E7390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6" w15:restartNumberingAfterBreak="0">
    <w:nsid w:val="76A14465"/>
    <w:multiLevelType w:val="multilevel"/>
    <w:tmpl w:val="3404E5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32"/>
  </w:num>
  <w:num w:numId="2">
    <w:abstractNumId w:val="4"/>
  </w:num>
  <w:num w:numId="3">
    <w:abstractNumId w:val="20"/>
  </w:num>
  <w:num w:numId="4">
    <w:abstractNumId w:val="15"/>
  </w:num>
  <w:num w:numId="5">
    <w:abstractNumId w:val="36"/>
  </w:num>
  <w:num w:numId="6">
    <w:abstractNumId w:val="0"/>
  </w:num>
  <w:num w:numId="7">
    <w:abstractNumId w:val="3"/>
  </w:num>
  <w:num w:numId="8">
    <w:abstractNumId w:val="21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7"/>
  </w:num>
  <w:num w:numId="14">
    <w:abstractNumId w:val="18"/>
  </w:num>
  <w:num w:numId="15">
    <w:abstractNumId w:val="35"/>
  </w:num>
  <w:num w:numId="16">
    <w:abstractNumId w:val="24"/>
  </w:num>
  <w:num w:numId="17">
    <w:abstractNumId w:val="23"/>
  </w:num>
  <w:num w:numId="18">
    <w:abstractNumId w:val="25"/>
  </w:num>
  <w:num w:numId="19">
    <w:abstractNumId w:val="33"/>
  </w:num>
  <w:num w:numId="20">
    <w:abstractNumId w:val="14"/>
  </w:num>
  <w:num w:numId="21">
    <w:abstractNumId w:val="9"/>
  </w:num>
  <w:num w:numId="22">
    <w:abstractNumId w:val="19"/>
  </w:num>
  <w:num w:numId="23">
    <w:abstractNumId w:val="1"/>
  </w:num>
  <w:num w:numId="24">
    <w:abstractNumId w:val="10"/>
  </w:num>
  <w:num w:numId="25">
    <w:abstractNumId w:val="11"/>
  </w:num>
  <w:num w:numId="26">
    <w:abstractNumId w:val="30"/>
  </w:num>
  <w:num w:numId="27">
    <w:abstractNumId w:val="8"/>
  </w:num>
  <w:num w:numId="28">
    <w:abstractNumId w:val="5"/>
  </w:num>
  <w:num w:numId="29">
    <w:abstractNumId w:val="31"/>
  </w:num>
  <w:num w:numId="30">
    <w:abstractNumId w:val="17"/>
  </w:num>
  <w:num w:numId="31">
    <w:abstractNumId w:val="27"/>
  </w:num>
  <w:num w:numId="32">
    <w:abstractNumId w:val="22"/>
  </w:num>
  <w:num w:numId="33">
    <w:abstractNumId w:val="34"/>
  </w:num>
  <w:num w:numId="34">
    <w:abstractNumId w:val="29"/>
  </w:num>
  <w:num w:numId="35">
    <w:abstractNumId w:val="16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CB"/>
    <w:rsid w:val="004A72CB"/>
    <w:rsid w:val="0095107D"/>
    <w:rsid w:val="00C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FCD2"/>
  <w15:docId w15:val="{85722B2C-9FA0-424F-94D1-5D65FC6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23A"/>
    <w:rPr>
      <w:color w:val="00000A"/>
    </w:rPr>
  </w:style>
  <w:style w:type="paragraph" w:styleId="Ttulo5">
    <w:name w:val="heading 5"/>
    <w:basedOn w:val="Normal"/>
    <w:next w:val="Normal"/>
    <w:link w:val="Ttulo5Char"/>
    <w:qFormat/>
    <w:rsid w:val="000A6C15"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232E53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9A2A7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9A2A73"/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9A2A73"/>
    <w:rPr>
      <w:b/>
      <w:bCs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9A2A73"/>
    <w:rPr>
      <w:rFonts w:ascii="Tahoma" w:hAnsi="Tahoma" w:cs="Tahoma"/>
      <w:sz w:val="16"/>
      <w:szCs w:val="16"/>
    </w:rPr>
  </w:style>
  <w:style w:type="character" w:customStyle="1" w:styleId="PargrafoNormalChar">
    <w:name w:val="Parágrafo Normal Char"/>
    <w:link w:val="PargrafoNormal"/>
    <w:uiPriority w:val="99"/>
    <w:qFormat/>
    <w:rsid w:val="001A69D2"/>
    <w:rPr>
      <w:sz w:val="24"/>
      <w:szCs w:val="24"/>
    </w:rPr>
  </w:style>
  <w:style w:type="character" w:customStyle="1" w:styleId="NumberingSymbols">
    <w:name w:val="Numbering Symbols"/>
    <w:qFormat/>
    <w:rPr>
      <w:rFonts w:ascii="Century Gothic" w:hAnsi="Century Gothic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Ttulo5Char">
    <w:name w:val="Título 5 Char"/>
    <w:basedOn w:val="Fontepargpadro"/>
    <w:link w:val="Ttulo5"/>
    <w:qFormat/>
    <w:rsid w:val="000A6C15"/>
    <w:rPr>
      <w:b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91965"/>
    <w:rPr>
      <w:color w:val="00000A"/>
    </w:rPr>
  </w:style>
  <w:style w:type="character" w:customStyle="1" w:styleId="Nvel1-TextoChar">
    <w:name w:val="Nível 1 - Texto Char"/>
    <w:basedOn w:val="Fontepargpadro"/>
    <w:qFormat/>
    <w:rsid w:val="00891965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7043F"/>
    <w:rPr>
      <w:color w:val="00000A"/>
    </w:rPr>
  </w:style>
  <w:style w:type="character" w:styleId="nfase">
    <w:name w:val="Emphasis"/>
    <w:qFormat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87EFD"/>
    <w:pPr>
      <w:ind w:firstLine="1416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9A2A73"/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9A2A73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qFormat/>
    <w:rsid w:val="009A2A73"/>
    <w:rPr>
      <w:rFonts w:ascii="Tahoma" w:hAnsi="Tahoma" w:cs="Tahoma"/>
      <w:sz w:val="16"/>
      <w:szCs w:val="16"/>
    </w:rPr>
  </w:style>
  <w:style w:type="paragraph" w:customStyle="1" w:styleId="Edital-Nvel1">
    <w:name w:val="Edital - Nível 1"/>
    <w:basedOn w:val="Normal"/>
    <w:qFormat/>
    <w:rsid w:val="00F33E2D"/>
    <w:p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E33133"/>
    <w:pPr>
      <w:jc w:val="both"/>
    </w:pPr>
    <w:rPr>
      <w:rFonts w:ascii="Century Gothic" w:eastAsia="Batang" w:hAnsi="Century Gothic"/>
      <w:sz w:val="22"/>
      <w:szCs w:val="22"/>
    </w:rPr>
  </w:style>
  <w:style w:type="paragraph" w:customStyle="1" w:styleId="Edital-Nvel3">
    <w:name w:val="Edital - Nível 3"/>
    <w:basedOn w:val="Edital-Nvel2"/>
    <w:qFormat/>
    <w:rsid w:val="00F33E2D"/>
  </w:style>
  <w:style w:type="paragraph" w:customStyle="1" w:styleId="Edital-Nvel4">
    <w:name w:val="Edital - Nível 4"/>
    <w:basedOn w:val="Edital-Nvel3"/>
    <w:qFormat/>
    <w:rsid w:val="00F33E2D"/>
    <w:pPr>
      <w:tabs>
        <w:tab w:val="left" w:pos="1134"/>
      </w:tabs>
    </w:pPr>
  </w:style>
  <w:style w:type="paragraph" w:customStyle="1" w:styleId="Edital-Nvel5">
    <w:name w:val="Edital - Nível 5"/>
    <w:basedOn w:val="Edital-Nvel4"/>
    <w:next w:val="Normal"/>
    <w:qFormat/>
    <w:rsid w:val="00F33E2D"/>
  </w:style>
  <w:style w:type="paragraph" w:styleId="PargrafodaLista">
    <w:name w:val="List Paragraph"/>
    <w:basedOn w:val="Normal"/>
    <w:link w:val="PargrafodaListaChar"/>
    <w:uiPriority w:val="34"/>
    <w:qFormat/>
    <w:rsid w:val="007D14CB"/>
    <w:pPr>
      <w:ind w:left="708"/>
    </w:pPr>
  </w:style>
  <w:style w:type="paragraph" w:customStyle="1" w:styleId="Edital-Semnmero">
    <w:name w:val="Edital - Sem número"/>
    <w:basedOn w:val="Normal"/>
    <w:next w:val="Normal"/>
    <w:uiPriority w:val="99"/>
    <w:qFormat/>
    <w:rsid w:val="00B911FA"/>
    <w:rPr>
      <w:rFonts w:ascii="Arial" w:eastAsia="Batang" w:hAnsi="Arial"/>
      <w:sz w:val="22"/>
    </w:rPr>
  </w:style>
  <w:style w:type="paragraph" w:customStyle="1" w:styleId="Corpo">
    <w:name w:val="Corpo"/>
    <w:uiPriority w:val="99"/>
    <w:qFormat/>
    <w:rsid w:val="001A69D2"/>
    <w:rPr>
      <w:color w:val="000000"/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qFormat/>
    <w:rsid w:val="001A69D2"/>
    <w:pPr>
      <w:spacing w:after="12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1A69D2"/>
    <w:pPr>
      <w:ind w:left="708"/>
    </w:p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Nvel1-Texto">
    <w:name w:val="Nível 1 - Texto"/>
    <w:basedOn w:val="Normal"/>
    <w:qFormat/>
    <w:rsid w:val="00891965"/>
    <w:pPr>
      <w:suppressAutoHyphens w:val="0"/>
      <w:spacing w:before="120" w:after="240" w:line="276" w:lineRule="auto"/>
      <w:jc w:val="both"/>
    </w:pPr>
    <w:rPr>
      <w:rFonts w:ascii="Century Gothic" w:eastAsiaTheme="minorHAnsi" w:hAnsi="Century Gothic" w:cstheme="minorBidi"/>
      <w:color w:val="auto"/>
      <w:sz w:val="22"/>
      <w:szCs w:val="22"/>
      <w:lang w:eastAsia="en-US"/>
    </w:rPr>
  </w:style>
  <w:style w:type="paragraph" w:customStyle="1" w:styleId="nabc">
    <w:name w:val="nabc"/>
    <w:basedOn w:val="Normal"/>
    <w:qFormat/>
    <w:rsid w:val="00D91473"/>
    <w:pPr>
      <w:suppressAutoHyphens w:val="0"/>
      <w:spacing w:beforeAutospacing="1" w:afterAutospacing="1"/>
    </w:pPr>
    <w:rPr>
      <w:rFonts w:eastAsiaTheme="minorHAnsi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08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6051-4227-4CDD-AB6F-ECD6728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4201</Characters>
  <Application>Microsoft Office Word</Application>
  <DocSecurity>0</DocSecurity>
  <Lines>35</Lines>
  <Paragraphs>9</Paragraphs>
  <ScaleCrop>false</ScaleCrop>
  <Company>PRODEST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gustavo.teixeira</dc:creator>
  <dc:description/>
  <cp:lastModifiedBy>Gustavo Castro Teixeira</cp:lastModifiedBy>
  <cp:revision>3</cp:revision>
  <cp:lastPrinted>2020-08-11T19:07:00Z</cp:lastPrinted>
  <dcterms:created xsi:type="dcterms:W3CDTF">2022-04-04T12:13:00Z</dcterms:created>
  <dcterms:modified xsi:type="dcterms:W3CDTF">2022-04-04T12:15:00Z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PRODEST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GTPRO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