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F2" w:rsidRPr="00C76562" w:rsidRDefault="00535A2B" w:rsidP="0053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MS Mincho" w:hAnsi="Century Gothic" w:cs="Tahoma"/>
          <w:b/>
          <w:sz w:val="22"/>
          <w:szCs w:val="22"/>
        </w:rPr>
      </w:pPr>
      <w:r w:rsidRPr="00C76562">
        <w:rPr>
          <w:rFonts w:ascii="Century Gothic" w:eastAsia="MS Mincho" w:hAnsi="Century Gothic" w:cs="Tahoma"/>
          <w:b/>
          <w:sz w:val="22"/>
          <w:szCs w:val="22"/>
        </w:rPr>
        <w:t>TERMO DE REFERÊNCIA</w:t>
      </w:r>
      <w:r w:rsidR="00D741AC">
        <w:rPr>
          <w:rFonts w:ascii="Century Gothic" w:eastAsia="MS Mincho" w:hAnsi="Century Gothic" w:cs="Tahoma"/>
          <w:b/>
          <w:sz w:val="22"/>
          <w:szCs w:val="22"/>
        </w:rPr>
        <w:t xml:space="preserve"> – MODELO 4</w:t>
      </w:r>
    </w:p>
    <w:p w:rsidR="00414EF2" w:rsidRPr="00C76562" w:rsidRDefault="00535A2B" w:rsidP="0053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MS Mincho" w:hAnsi="Century Gothic" w:cs="Tahoma"/>
          <w:b/>
          <w:sz w:val="22"/>
          <w:szCs w:val="22"/>
        </w:rPr>
      </w:pPr>
      <w:r w:rsidRPr="00C76562">
        <w:rPr>
          <w:rFonts w:ascii="Century Gothic" w:eastAsia="MS Mincho" w:hAnsi="Century Gothic" w:cs="Tahoma"/>
          <w:b/>
          <w:sz w:val="22"/>
          <w:szCs w:val="22"/>
        </w:rPr>
        <w:t xml:space="preserve">PROCEDIMENTO DE CONTRATAÇÃO - </w:t>
      </w:r>
      <w:r w:rsidR="00414EF2" w:rsidRPr="00C76562">
        <w:rPr>
          <w:rFonts w:ascii="Century Gothic" w:eastAsia="MS Mincho" w:hAnsi="Century Gothic" w:cs="Tahoma"/>
          <w:b/>
          <w:sz w:val="22"/>
          <w:szCs w:val="22"/>
        </w:rPr>
        <w:t>SOFTWARE - DESENVOLVIMENTO E SUPORTE TÉCNICO</w:t>
      </w:r>
    </w:p>
    <w:p w:rsidR="00414EF2" w:rsidRPr="00C76562" w:rsidRDefault="00414EF2" w:rsidP="0053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MS Mincho" w:hAnsi="Century Gothic" w:cs="Tahoma"/>
          <w:b/>
          <w:sz w:val="22"/>
          <w:szCs w:val="22"/>
        </w:rPr>
      </w:pPr>
      <w:r w:rsidRPr="00C76562">
        <w:rPr>
          <w:rFonts w:ascii="Century Gothic" w:eastAsia="MS Mincho" w:hAnsi="Century Gothic" w:cs="Tahoma"/>
          <w:b/>
          <w:sz w:val="22"/>
          <w:szCs w:val="22"/>
        </w:rPr>
        <w:t xml:space="preserve"> ÚLTIMA ALTERAÇÃO EM </w:t>
      </w:r>
      <w:r w:rsidR="00C337F5">
        <w:rPr>
          <w:rFonts w:ascii="Century Gothic" w:eastAsia="MS Mincho" w:hAnsi="Century Gothic" w:cs="Tahoma"/>
          <w:b/>
          <w:sz w:val="22"/>
          <w:szCs w:val="22"/>
        </w:rPr>
        <w:t>JULHO</w:t>
      </w:r>
      <w:r w:rsidRPr="00C76562">
        <w:rPr>
          <w:rFonts w:ascii="Century Gothic" w:eastAsia="MS Mincho" w:hAnsi="Century Gothic" w:cs="Tahoma"/>
          <w:b/>
          <w:sz w:val="22"/>
          <w:szCs w:val="22"/>
        </w:rPr>
        <w:t xml:space="preserve"> 20</w:t>
      </w:r>
      <w:r w:rsidR="00C337F5">
        <w:rPr>
          <w:rFonts w:ascii="Century Gothic" w:eastAsia="MS Mincho" w:hAnsi="Century Gothic" w:cs="Tahoma"/>
          <w:b/>
          <w:sz w:val="22"/>
          <w:szCs w:val="22"/>
        </w:rPr>
        <w:t>20</w:t>
      </w:r>
      <w:bookmarkStart w:id="0" w:name="_GoBack"/>
      <w:bookmarkEnd w:id="0"/>
    </w:p>
    <w:p w:rsidR="005F65D0" w:rsidRDefault="005F65D0" w:rsidP="005F65D0">
      <w:pPr>
        <w:pStyle w:val="PGE-NotaExplicativa"/>
        <w:rPr>
          <w:highlight w:val="yellow"/>
        </w:rPr>
      </w:pPr>
      <w:r>
        <w:rPr>
          <w:highlight w:val="yellow"/>
        </w:rPr>
        <w:t>Notas Explicativas: As Notas Explicativas constam distribuídas no corpo deste documento apenas para auxiliar no adequado preenchimento da minuta padronizada, portanto, deverão ser suprimidas quando finalizada tal tarefa.</w:t>
      </w:r>
    </w:p>
    <w:p w:rsidR="004E157E" w:rsidRDefault="004E157E" w:rsidP="00535A2B">
      <w:pPr>
        <w:spacing w:after="120"/>
        <w:jc w:val="center"/>
        <w:rPr>
          <w:rFonts w:ascii="Century Gothic" w:hAnsi="Century Gothic"/>
          <w:b/>
        </w:rPr>
      </w:pPr>
    </w:p>
    <w:p w:rsidR="004E157E" w:rsidRDefault="004E157E" w:rsidP="00535A2B">
      <w:pPr>
        <w:spacing w:after="120"/>
        <w:jc w:val="center"/>
        <w:rPr>
          <w:rFonts w:ascii="Century Gothic" w:hAnsi="Century Gothic"/>
          <w:b/>
        </w:rPr>
      </w:pPr>
    </w:p>
    <w:p w:rsidR="00414EF2" w:rsidRPr="007707F4" w:rsidRDefault="00414EF2" w:rsidP="00535A2B">
      <w:pPr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7707F4">
        <w:rPr>
          <w:rFonts w:ascii="Century Gothic" w:hAnsi="Century Gothic"/>
          <w:b/>
          <w:sz w:val="22"/>
          <w:szCs w:val="22"/>
        </w:rPr>
        <w:t>COMUNICAÇÃO INTERNA Nº _______/20___- (área demandante)</w:t>
      </w:r>
    </w:p>
    <w:p w:rsidR="004E157E" w:rsidRPr="007707F4" w:rsidRDefault="004E157E" w:rsidP="00535A2B">
      <w:pPr>
        <w:spacing w:after="120"/>
        <w:rPr>
          <w:rFonts w:ascii="Century Gothic" w:hAnsi="Century Gothic"/>
          <w:b/>
          <w:sz w:val="22"/>
          <w:szCs w:val="22"/>
        </w:rPr>
      </w:pPr>
    </w:p>
    <w:p w:rsidR="004E157E" w:rsidRPr="007707F4" w:rsidRDefault="004E157E" w:rsidP="00535A2B">
      <w:pPr>
        <w:spacing w:after="120"/>
        <w:rPr>
          <w:rFonts w:ascii="Century Gothic" w:hAnsi="Century Gothic"/>
          <w:b/>
          <w:sz w:val="22"/>
          <w:szCs w:val="22"/>
        </w:rPr>
      </w:pPr>
    </w:p>
    <w:p w:rsidR="004E157E" w:rsidRPr="007707F4" w:rsidRDefault="004E157E" w:rsidP="00535A2B">
      <w:pPr>
        <w:spacing w:after="120"/>
        <w:rPr>
          <w:rFonts w:ascii="Century Gothic" w:hAnsi="Century Gothic"/>
          <w:b/>
          <w:sz w:val="22"/>
          <w:szCs w:val="22"/>
        </w:rPr>
      </w:pPr>
    </w:p>
    <w:p w:rsidR="00414EF2" w:rsidRPr="007707F4" w:rsidRDefault="00414EF2" w:rsidP="00535A2B">
      <w:pPr>
        <w:spacing w:after="120"/>
        <w:rPr>
          <w:rFonts w:ascii="Century Gothic" w:hAnsi="Century Gothic"/>
          <w:sz w:val="22"/>
          <w:szCs w:val="22"/>
        </w:rPr>
      </w:pPr>
      <w:r w:rsidRPr="007707F4">
        <w:rPr>
          <w:rFonts w:ascii="Century Gothic" w:hAnsi="Century Gothic"/>
          <w:b/>
          <w:sz w:val="22"/>
          <w:szCs w:val="22"/>
        </w:rPr>
        <w:t>Referência:</w:t>
      </w:r>
      <w:r w:rsidRPr="007707F4">
        <w:rPr>
          <w:rFonts w:ascii="Century Gothic" w:hAnsi="Century Gothic"/>
          <w:sz w:val="22"/>
          <w:szCs w:val="22"/>
        </w:rPr>
        <w:t xml:space="preserve"> (descrição sucinta do objeto)</w:t>
      </w:r>
    </w:p>
    <w:p w:rsidR="004E157E" w:rsidRPr="007707F4" w:rsidRDefault="004E157E" w:rsidP="00535A2B">
      <w:pPr>
        <w:rPr>
          <w:rFonts w:ascii="Century Gothic" w:hAnsi="Century Gothic"/>
          <w:b/>
          <w:sz w:val="22"/>
          <w:szCs w:val="22"/>
        </w:rPr>
      </w:pPr>
    </w:p>
    <w:p w:rsidR="004E157E" w:rsidRPr="007707F4" w:rsidRDefault="004E157E" w:rsidP="00535A2B">
      <w:pPr>
        <w:rPr>
          <w:rFonts w:ascii="Century Gothic" w:hAnsi="Century Gothic"/>
          <w:b/>
          <w:sz w:val="22"/>
          <w:szCs w:val="22"/>
        </w:rPr>
      </w:pPr>
    </w:p>
    <w:p w:rsidR="00414EF2" w:rsidRPr="007707F4" w:rsidRDefault="00414EF2" w:rsidP="00535A2B">
      <w:pPr>
        <w:rPr>
          <w:rFonts w:ascii="Century Gothic" w:hAnsi="Century Gothic"/>
          <w:b/>
          <w:sz w:val="22"/>
          <w:szCs w:val="22"/>
        </w:rPr>
      </w:pPr>
      <w:r w:rsidRPr="007707F4">
        <w:rPr>
          <w:rFonts w:ascii="Century Gothic" w:hAnsi="Century Gothic"/>
          <w:b/>
          <w:sz w:val="22"/>
          <w:szCs w:val="22"/>
        </w:rPr>
        <w:t>AO DIRAF/DIPRE:</w:t>
      </w:r>
    </w:p>
    <w:p w:rsidR="00535A2B" w:rsidRPr="007707F4" w:rsidRDefault="00535A2B" w:rsidP="00535A2B">
      <w:pPr>
        <w:jc w:val="both"/>
        <w:rPr>
          <w:rFonts w:ascii="Century Gothic" w:hAnsi="Century Gothic"/>
          <w:sz w:val="22"/>
          <w:szCs w:val="22"/>
        </w:rPr>
      </w:pPr>
    </w:p>
    <w:p w:rsidR="004E157E" w:rsidRPr="007707F4" w:rsidRDefault="004E157E" w:rsidP="00535A2B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:rsidR="004E157E" w:rsidRPr="007707F4" w:rsidRDefault="004E157E" w:rsidP="00535A2B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:rsidR="00414EF2" w:rsidRPr="007707F4" w:rsidRDefault="00414EF2" w:rsidP="00535A2B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7707F4">
        <w:rPr>
          <w:rFonts w:ascii="Century Gothic" w:hAnsi="Century Gothic"/>
          <w:sz w:val="22"/>
          <w:szCs w:val="22"/>
        </w:rPr>
        <w:t>A ................ (</w:t>
      </w:r>
      <w:proofErr w:type="spellStart"/>
      <w:proofErr w:type="gramStart"/>
      <w:r w:rsidRPr="007707F4">
        <w:rPr>
          <w:rFonts w:ascii="Century Gothic" w:hAnsi="Century Gothic"/>
          <w:sz w:val="22"/>
          <w:szCs w:val="22"/>
        </w:rPr>
        <w:t>subgerência</w:t>
      </w:r>
      <w:proofErr w:type="spellEnd"/>
      <w:proofErr w:type="gramEnd"/>
      <w:r w:rsidRPr="007707F4">
        <w:rPr>
          <w:rFonts w:ascii="Century Gothic" w:hAnsi="Century Gothic"/>
          <w:sz w:val="22"/>
          <w:szCs w:val="22"/>
        </w:rPr>
        <w:t>/gerência) detectou a necessidade de instaurar procedimento licitatório que objetiva a Contratação de ........ (</w:t>
      </w:r>
      <w:proofErr w:type="gramStart"/>
      <w:r w:rsidRPr="007707F4">
        <w:rPr>
          <w:rFonts w:ascii="Century Gothic" w:hAnsi="Century Gothic"/>
          <w:sz w:val="22"/>
          <w:szCs w:val="22"/>
        </w:rPr>
        <w:t>descrever</w:t>
      </w:r>
      <w:proofErr w:type="gramEnd"/>
      <w:r w:rsidRPr="007707F4">
        <w:rPr>
          <w:rFonts w:ascii="Century Gothic" w:hAnsi="Century Gothic"/>
          <w:sz w:val="22"/>
          <w:szCs w:val="22"/>
        </w:rPr>
        <w:t xml:space="preserve"> de forma sucinta o objeto).</w:t>
      </w:r>
    </w:p>
    <w:p w:rsidR="00414EF2" w:rsidRPr="007707F4" w:rsidRDefault="00414EF2" w:rsidP="00535A2B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7707F4">
        <w:rPr>
          <w:rFonts w:ascii="Century Gothic" w:hAnsi="Century Gothic"/>
          <w:sz w:val="22"/>
          <w:szCs w:val="22"/>
        </w:rPr>
        <w:t>A especificação detalhada do objeto, assim como sua forma de execução encontram-se descritas no termo de referência que segue anexo à presente comunicação.</w:t>
      </w:r>
    </w:p>
    <w:p w:rsidR="00414EF2" w:rsidRPr="007707F4" w:rsidRDefault="00414EF2" w:rsidP="00535A2B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7707F4">
        <w:rPr>
          <w:rFonts w:ascii="Century Gothic" w:hAnsi="Century Gothic"/>
          <w:sz w:val="22"/>
          <w:szCs w:val="22"/>
        </w:rPr>
        <w:t>Nesse sentido, solicitamos autorização para instaurar procedimento licitatório que objetiva contratar o objeto referenciado.</w:t>
      </w:r>
    </w:p>
    <w:p w:rsidR="004E157E" w:rsidRPr="007707F4" w:rsidRDefault="004E157E" w:rsidP="00535A2B">
      <w:pPr>
        <w:jc w:val="both"/>
        <w:rPr>
          <w:rFonts w:ascii="Century Gothic" w:hAnsi="Century Gothic"/>
          <w:sz w:val="22"/>
          <w:szCs w:val="22"/>
        </w:rPr>
      </w:pPr>
    </w:p>
    <w:p w:rsidR="004E157E" w:rsidRPr="007707F4" w:rsidRDefault="004E157E" w:rsidP="00535A2B">
      <w:pPr>
        <w:jc w:val="both"/>
        <w:rPr>
          <w:rFonts w:ascii="Century Gothic" w:hAnsi="Century Gothic"/>
          <w:sz w:val="22"/>
          <w:szCs w:val="22"/>
        </w:rPr>
      </w:pPr>
    </w:p>
    <w:p w:rsidR="00414EF2" w:rsidRPr="007707F4" w:rsidRDefault="00414EF2" w:rsidP="00535A2B">
      <w:pPr>
        <w:jc w:val="both"/>
        <w:rPr>
          <w:rFonts w:ascii="Century Gothic" w:hAnsi="Century Gothic"/>
          <w:sz w:val="22"/>
          <w:szCs w:val="22"/>
        </w:rPr>
      </w:pPr>
      <w:r w:rsidRPr="007707F4">
        <w:rPr>
          <w:rFonts w:ascii="Century Gothic" w:hAnsi="Century Gothic"/>
          <w:sz w:val="22"/>
          <w:szCs w:val="22"/>
        </w:rPr>
        <w:t>Atenciosamente</w:t>
      </w:r>
      <w:r w:rsidR="00535A2B" w:rsidRPr="007707F4">
        <w:rPr>
          <w:rFonts w:ascii="Century Gothic" w:hAnsi="Century Gothic"/>
          <w:sz w:val="22"/>
          <w:szCs w:val="22"/>
        </w:rPr>
        <w:t>,</w:t>
      </w:r>
    </w:p>
    <w:p w:rsidR="004E157E" w:rsidRPr="007707F4" w:rsidRDefault="004E157E" w:rsidP="00535A2B">
      <w:pPr>
        <w:jc w:val="both"/>
        <w:rPr>
          <w:rFonts w:ascii="Century Gothic" w:hAnsi="Century Gothic"/>
          <w:sz w:val="22"/>
          <w:szCs w:val="22"/>
        </w:rPr>
      </w:pPr>
    </w:p>
    <w:p w:rsidR="004E157E" w:rsidRPr="007707F4" w:rsidRDefault="004E157E" w:rsidP="00535A2B">
      <w:pPr>
        <w:jc w:val="both"/>
        <w:rPr>
          <w:rFonts w:ascii="Century Gothic" w:hAnsi="Century Gothic"/>
          <w:sz w:val="22"/>
          <w:szCs w:val="22"/>
        </w:rPr>
      </w:pPr>
    </w:p>
    <w:p w:rsidR="004E157E" w:rsidRPr="007707F4" w:rsidRDefault="004E157E" w:rsidP="00535A2B">
      <w:pPr>
        <w:jc w:val="both"/>
        <w:rPr>
          <w:rFonts w:ascii="Century Gothic" w:hAnsi="Century Gothic"/>
          <w:sz w:val="22"/>
          <w:szCs w:val="22"/>
        </w:rPr>
      </w:pPr>
    </w:p>
    <w:p w:rsidR="00414EF2" w:rsidRPr="007707F4" w:rsidRDefault="00414EF2" w:rsidP="00535A2B">
      <w:pPr>
        <w:jc w:val="both"/>
        <w:rPr>
          <w:rFonts w:ascii="Century Gothic" w:hAnsi="Century Gothic"/>
          <w:sz w:val="22"/>
          <w:szCs w:val="22"/>
        </w:rPr>
      </w:pPr>
      <w:r w:rsidRPr="007707F4">
        <w:rPr>
          <w:rFonts w:ascii="Century Gothic" w:hAnsi="Century Gothic"/>
          <w:sz w:val="22"/>
          <w:szCs w:val="22"/>
        </w:rPr>
        <w:t>Vitória/ES,</w:t>
      </w:r>
      <w:r w:rsidR="00535A2B" w:rsidRPr="007707F4">
        <w:rPr>
          <w:rFonts w:ascii="Century Gothic" w:hAnsi="Century Gothic"/>
          <w:sz w:val="22"/>
          <w:szCs w:val="22"/>
        </w:rPr>
        <w:t xml:space="preserve"> </w:t>
      </w:r>
      <w:r w:rsidRPr="007707F4">
        <w:rPr>
          <w:rFonts w:ascii="Century Gothic" w:hAnsi="Century Gothic"/>
          <w:sz w:val="22"/>
          <w:szCs w:val="22"/>
        </w:rPr>
        <w:t>....</w:t>
      </w:r>
      <w:r w:rsidR="00535A2B" w:rsidRPr="007707F4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535A2B" w:rsidRPr="007707F4">
        <w:rPr>
          <w:rFonts w:ascii="Century Gothic" w:hAnsi="Century Gothic"/>
          <w:sz w:val="22"/>
          <w:szCs w:val="22"/>
        </w:rPr>
        <w:t>de</w:t>
      </w:r>
      <w:proofErr w:type="gramEnd"/>
      <w:r w:rsidR="00535A2B" w:rsidRPr="007707F4">
        <w:rPr>
          <w:rFonts w:ascii="Century Gothic" w:hAnsi="Century Gothic"/>
          <w:sz w:val="22"/>
          <w:szCs w:val="22"/>
        </w:rPr>
        <w:t xml:space="preserve"> ...................... </w:t>
      </w:r>
      <w:proofErr w:type="gramStart"/>
      <w:r w:rsidR="00535A2B" w:rsidRPr="007707F4">
        <w:rPr>
          <w:rFonts w:ascii="Century Gothic" w:hAnsi="Century Gothic"/>
          <w:sz w:val="22"/>
          <w:szCs w:val="22"/>
        </w:rPr>
        <w:t>de</w:t>
      </w:r>
      <w:proofErr w:type="gramEnd"/>
      <w:r w:rsidR="00535A2B" w:rsidRPr="007707F4">
        <w:rPr>
          <w:rFonts w:ascii="Century Gothic" w:hAnsi="Century Gothic"/>
          <w:sz w:val="22"/>
          <w:szCs w:val="22"/>
        </w:rPr>
        <w:t xml:space="preserve"> </w:t>
      </w:r>
      <w:r w:rsidRPr="007707F4">
        <w:rPr>
          <w:rFonts w:ascii="Century Gothic" w:hAnsi="Century Gothic"/>
          <w:sz w:val="22"/>
          <w:szCs w:val="22"/>
        </w:rPr>
        <w:t>......</w:t>
      </w:r>
    </w:p>
    <w:p w:rsidR="00414EF2" w:rsidRPr="007707F4" w:rsidRDefault="00414EF2" w:rsidP="00535A2B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:rsidR="004E157E" w:rsidRPr="007707F4" w:rsidRDefault="004E157E" w:rsidP="00535A2B">
      <w:pPr>
        <w:spacing w:after="120"/>
        <w:jc w:val="center"/>
        <w:rPr>
          <w:rFonts w:ascii="Century Gothic" w:hAnsi="Century Gothic"/>
          <w:sz w:val="22"/>
          <w:szCs w:val="22"/>
        </w:rPr>
      </w:pPr>
    </w:p>
    <w:p w:rsidR="004E157E" w:rsidRPr="007707F4" w:rsidRDefault="004E157E" w:rsidP="00535A2B">
      <w:pPr>
        <w:spacing w:after="120"/>
        <w:jc w:val="center"/>
        <w:rPr>
          <w:rFonts w:ascii="Century Gothic" w:hAnsi="Century Gothic"/>
          <w:sz w:val="22"/>
          <w:szCs w:val="22"/>
        </w:rPr>
      </w:pPr>
    </w:p>
    <w:p w:rsidR="00535A2B" w:rsidRPr="007707F4" w:rsidRDefault="00535A2B" w:rsidP="00535A2B">
      <w:pPr>
        <w:spacing w:after="120"/>
        <w:jc w:val="center"/>
        <w:rPr>
          <w:rFonts w:ascii="Century Gothic" w:hAnsi="Century Gothic"/>
          <w:sz w:val="22"/>
          <w:szCs w:val="22"/>
        </w:rPr>
      </w:pPr>
      <w:r w:rsidRPr="007707F4">
        <w:rPr>
          <w:rFonts w:ascii="Century Gothic" w:hAnsi="Century Gothic"/>
          <w:sz w:val="22"/>
          <w:szCs w:val="22"/>
        </w:rPr>
        <w:t>AUTOR DO TERMO DE REFERÊNCIA</w:t>
      </w:r>
      <w:r w:rsidRPr="007707F4">
        <w:rPr>
          <w:rFonts w:ascii="Century Gothic" w:hAnsi="Century Gothic"/>
          <w:sz w:val="22"/>
          <w:szCs w:val="22"/>
        </w:rPr>
        <w:br w:type="page"/>
      </w:r>
    </w:p>
    <w:p w:rsidR="00B23D3B" w:rsidRDefault="00B23D3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br w:type="page"/>
      </w:r>
    </w:p>
    <w:p w:rsidR="00414EF2" w:rsidRPr="00C76562" w:rsidRDefault="00414EF2" w:rsidP="002A3917">
      <w:pPr>
        <w:spacing w:after="120"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lastRenderedPageBreak/>
        <w:t>TERMO DE REFERÊNCIA No......./20.... - (Gerência/</w:t>
      </w:r>
      <w:proofErr w:type="spellStart"/>
      <w:r w:rsidRPr="00C76562">
        <w:rPr>
          <w:rFonts w:ascii="Century Gothic" w:hAnsi="Century Gothic"/>
          <w:b/>
          <w:sz w:val="22"/>
          <w:szCs w:val="22"/>
        </w:rPr>
        <w:t>Subgerência</w:t>
      </w:r>
      <w:proofErr w:type="spellEnd"/>
      <w:r w:rsidRPr="00C76562">
        <w:rPr>
          <w:rFonts w:ascii="Century Gothic" w:hAnsi="Century Gothic"/>
          <w:b/>
          <w:sz w:val="22"/>
          <w:szCs w:val="22"/>
        </w:rPr>
        <w:t xml:space="preserve"> Demandante)</w:t>
      </w:r>
    </w:p>
    <w:p w:rsidR="00414EF2" w:rsidRPr="00C76562" w:rsidRDefault="00414EF2" w:rsidP="00B1025F">
      <w:pPr>
        <w:pStyle w:val="PargrafodaLista"/>
        <w:numPr>
          <w:ilvl w:val="0"/>
          <w:numId w:val="10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t>DO OBJETO</w:t>
      </w:r>
    </w:p>
    <w:p w:rsidR="00414EF2" w:rsidRPr="00C76562" w:rsidRDefault="00414EF2" w:rsidP="00B1025F">
      <w:pPr>
        <w:pStyle w:val="PargrafodaLista"/>
        <w:numPr>
          <w:ilvl w:val="1"/>
          <w:numId w:val="10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Descrição sucinta do produto ou serviço, de forma mensurável em tamanho e tempo, conforme exemplos:</w:t>
      </w:r>
    </w:p>
    <w:p w:rsidR="00414EF2" w:rsidRPr="00C76562" w:rsidRDefault="00414EF2" w:rsidP="002A3917">
      <w:pPr>
        <w:pStyle w:val="PargrafodaLista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i/>
          <w:sz w:val="22"/>
          <w:szCs w:val="22"/>
        </w:rPr>
        <w:t>Ex</w:t>
      </w:r>
      <w:r w:rsidR="00554950" w:rsidRPr="00C76562">
        <w:rPr>
          <w:rFonts w:ascii="Century Gothic" w:hAnsi="Century Gothic"/>
          <w:i/>
          <w:sz w:val="22"/>
          <w:szCs w:val="22"/>
        </w:rPr>
        <w:t xml:space="preserve">emplo </w:t>
      </w:r>
      <w:r w:rsidRPr="00C76562">
        <w:rPr>
          <w:rFonts w:ascii="Century Gothic" w:hAnsi="Century Gothic"/>
          <w:i/>
          <w:sz w:val="22"/>
          <w:szCs w:val="22"/>
        </w:rPr>
        <w:t>1:</w:t>
      </w:r>
      <w:r w:rsidRPr="00C76562">
        <w:rPr>
          <w:rFonts w:ascii="Century Gothic" w:hAnsi="Century Gothic"/>
          <w:sz w:val="22"/>
          <w:szCs w:val="22"/>
        </w:rPr>
        <w:t xml:space="preserve"> Aquisição de licenças de uso perpétuo de sistema de informação com acesso via WEB para Gestão Acadêmica e Administrat</w:t>
      </w:r>
      <w:r w:rsidR="00554950" w:rsidRPr="00C76562">
        <w:rPr>
          <w:rFonts w:ascii="Century Gothic" w:hAnsi="Century Gothic"/>
          <w:sz w:val="22"/>
          <w:szCs w:val="22"/>
        </w:rPr>
        <w:t>iva da Rede Estadual de Ensino e</w:t>
      </w:r>
      <w:r w:rsidRPr="00C76562">
        <w:rPr>
          <w:rFonts w:ascii="Century Gothic" w:hAnsi="Century Gothic"/>
          <w:sz w:val="22"/>
          <w:szCs w:val="22"/>
        </w:rPr>
        <w:t xml:space="preserve"> hospedagem desta tecnologia no PRODEST, incluindo os serviços de implantação, adequações específicas, suporte técnico ao usuário e manutenção.</w:t>
      </w:r>
    </w:p>
    <w:p w:rsidR="00414EF2" w:rsidRDefault="00414EF2" w:rsidP="002A3917">
      <w:pPr>
        <w:pStyle w:val="PargrafodaLista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i/>
          <w:sz w:val="22"/>
          <w:szCs w:val="22"/>
        </w:rPr>
        <w:t>Ex</w:t>
      </w:r>
      <w:r w:rsidR="00554950" w:rsidRPr="00C76562">
        <w:rPr>
          <w:rFonts w:ascii="Century Gothic" w:hAnsi="Century Gothic"/>
          <w:i/>
          <w:sz w:val="22"/>
          <w:szCs w:val="22"/>
        </w:rPr>
        <w:t xml:space="preserve">emplo </w:t>
      </w:r>
      <w:r w:rsidRPr="00C76562">
        <w:rPr>
          <w:rFonts w:ascii="Century Gothic" w:hAnsi="Century Gothic"/>
          <w:i/>
          <w:sz w:val="22"/>
          <w:szCs w:val="22"/>
        </w:rPr>
        <w:t>2:</w:t>
      </w:r>
      <w:r w:rsidRPr="00C76562">
        <w:rPr>
          <w:rFonts w:ascii="Century Gothic" w:hAnsi="Century Gothic"/>
          <w:sz w:val="22"/>
          <w:szCs w:val="22"/>
        </w:rPr>
        <w:t xml:space="preserve"> Contratação de serviços técnicos sob demanda na área de tecnologia da informação, para a manutenção do sistema de informação XPTO, compreendendo atividades de análise, projeto, codificação, testes, documentação e implantação, limitados ao quantitativo máximo de </w:t>
      </w:r>
      <w:r w:rsidR="003C1EB0">
        <w:rPr>
          <w:rFonts w:ascii="Century Gothic" w:hAnsi="Century Gothic"/>
          <w:sz w:val="22"/>
          <w:szCs w:val="22"/>
        </w:rPr>
        <w:t>2.000</w:t>
      </w:r>
      <w:r w:rsidRPr="00C76562">
        <w:rPr>
          <w:rFonts w:ascii="Century Gothic" w:hAnsi="Century Gothic"/>
          <w:sz w:val="22"/>
          <w:szCs w:val="22"/>
        </w:rPr>
        <w:t xml:space="preserve"> pontos de função.</w:t>
      </w:r>
    </w:p>
    <w:p w:rsidR="004E157E" w:rsidRPr="005E54AF" w:rsidRDefault="004E157E" w:rsidP="004E157E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5E54AF">
        <w:rPr>
          <w:rFonts w:ascii="Century Gothic" w:hAnsi="Century Gothic"/>
          <w:b/>
          <w:sz w:val="22"/>
          <w:szCs w:val="22"/>
        </w:rPr>
        <w:t>2. DA JUSTIFICATIVA</w:t>
      </w:r>
    </w:p>
    <w:p w:rsidR="004E157E" w:rsidRPr="005E54AF" w:rsidRDefault="004E157E" w:rsidP="004E157E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5E54AF">
        <w:rPr>
          <w:rFonts w:ascii="Century Gothic" w:hAnsi="Century Gothic"/>
          <w:sz w:val="22"/>
          <w:szCs w:val="22"/>
        </w:rPr>
        <w:t>Tendo por foco o interesse público, segue a justificativa da necessidade da aquisição/contratação:</w:t>
      </w:r>
    </w:p>
    <w:p w:rsidR="004E157E" w:rsidRPr="00A955A3" w:rsidRDefault="004E157E" w:rsidP="00A955A3">
      <w:pPr>
        <w:pStyle w:val="PargrafodaLista"/>
        <w:numPr>
          <w:ilvl w:val="1"/>
          <w:numId w:val="22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A955A3">
        <w:rPr>
          <w:rFonts w:ascii="Century Gothic" w:hAnsi="Century Gothic"/>
          <w:sz w:val="22"/>
          <w:szCs w:val="22"/>
        </w:rPr>
        <w:t>Descrever os motivos que esclarecem a necessidade da aquisição/contratação do produto ou serviço. Descrever os benefícios que serão proporcionados pela aquisição/contratação;</w:t>
      </w:r>
    </w:p>
    <w:p w:rsidR="004E157E" w:rsidRPr="00A955A3" w:rsidRDefault="004E157E" w:rsidP="00A955A3">
      <w:pPr>
        <w:pStyle w:val="PargrafodaLista"/>
        <w:numPr>
          <w:ilvl w:val="1"/>
          <w:numId w:val="22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A955A3">
        <w:rPr>
          <w:rFonts w:ascii="Century Gothic" w:hAnsi="Century Gothic"/>
          <w:sz w:val="22"/>
          <w:szCs w:val="22"/>
        </w:rPr>
        <w:t>Descrever informações que esclareçam o alinhamento do objeto pretendido com o Planejamento Estratégico, Plano Diretor de Tecnologia da Informação ou outros instrumentos de planejamento do Governo do Estado ou do órgão, se for o caso, ou com outros projetos em execução;</w:t>
      </w:r>
    </w:p>
    <w:p w:rsidR="004E157E" w:rsidRPr="00A955A3" w:rsidRDefault="004E157E" w:rsidP="00A955A3">
      <w:pPr>
        <w:pStyle w:val="PargrafodaLista"/>
        <w:numPr>
          <w:ilvl w:val="1"/>
          <w:numId w:val="22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A955A3">
        <w:rPr>
          <w:rFonts w:ascii="Century Gothic" w:hAnsi="Century Gothic"/>
          <w:sz w:val="22"/>
          <w:szCs w:val="22"/>
        </w:rPr>
        <w:t>Descrever a existência de itens não inclusos, dos quais depende a execução do objeto pretendido.  Esta informação será utilizada como justificativa e alerta para a necessidade de instaurar procedimento licitatório que será instruído em separado;</w:t>
      </w:r>
    </w:p>
    <w:p w:rsidR="004E157E" w:rsidRPr="00A955A3" w:rsidRDefault="004E157E" w:rsidP="00A955A3">
      <w:pPr>
        <w:pStyle w:val="PargrafodaLista"/>
        <w:numPr>
          <w:ilvl w:val="1"/>
          <w:numId w:val="22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A955A3">
        <w:rPr>
          <w:rFonts w:ascii="Century Gothic" w:hAnsi="Century Gothic"/>
          <w:sz w:val="22"/>
          <w:szCs w:val="22"/>
        </w:rPr>
        <w:t xml:space="preserve">A área demandante deve justificar a eventual impossibilidade de divisão do objeto em LOTES em se tratando de vários itens. Além disso, quando couber, deverá definir e justificar a possibilidade de participação de consórcios na licitação; </w:t>
      </w:r>
    </w:p>
    <w:p w:rsidR="004E157E" w:rsidRPr="00A955A3" w:rsidRDefault="004E157E" w:rsidP="00A955A3">
      <w:pPr>
        <w:pStyle w:val="PargrafodaLista"/>
        <w:numPr>
          <w:ilvl w:val="1"/>
          <w:numId w:val="22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A955A3">
        <w:rPr>
          <w:rFonts w:ascii="Century Gothic" w:hAnsi="Century Gothic"/>
          <w:sz w:val="22"/>
          <w:szCs w:val="22"/>
        </w:rPr>
        <w:t>O quantitativo de produtos a serem adquiridos, bem como de horas de treinamento ou serviços, deve estar devidamente justificado, citando-se, inclusive, qual foi o ponto de partida e o parâmetro adotado para a estimativa da contratação;</w:t>
      </w:r>
    </w:p>
    <w:p w:rsidR="004E157E" w:rsidRPr="00A955A3" w:rsidRDefault="004E157E" w:rsidP="00A955A3">
      <w:pPr>
        <w:pStyle w:val="PargrafodaLista"/>
        <w:numPr>
          <w:ilvl w:val="1"/>
          <w:numId w:val="22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A955A3">
        <w:rPr>
          <w:rFonts w:ascii="Century Gothic" w:hAnsi="Century Gothic"/>
          <w:sz w:val="22"/>
          <w:szCs w:val="22"/>
        </w:rPr>
        <w:t>Quando couber, comparar custo benefício da contratação de produto versus desenvolvimento de novo sistema;</w:t>
      </w:r>
    </w:p>
    <w:p w:rsidR="004E157E" w:rsidRPr="00A955A3" w:rsidRDefault="004E157E" w:rsidP="00A955A3">
      <w:pPr>
        <w:pStyle w:val="PargrafodaLista"/>
        <w:numPr>
          <w:ilvl w:val="1"/>
          <w:numId w:val="22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A955A3">
        <w:rPr>
          <w:rFonts w:ascii="Century Gothic" w:hAnsi="Century Gothic"/>
          <w:sz w:val="22"/>
          <w:szCs w:val="22"/>
        </w:rPr>
        <w:t xml:space="preserve">Quando couber, a área demandante deverá definir e justificar a </w:t>
      </w:r>
      <w:proofErr w:type="spellStart"/>
      <w:r w:rsidRPr="00A955A3">
        <w:rPr>
          <w:rFonts w:ascii="Century Gothic" w:hAnsi="Century Gothic"/>
          <w:sz w:val="22"/>
          <w:szCs w:val="22"/>
        </w:rPr>
        <w:t>vantajosidade</w:t>
      </w:r>
      <w:proofErr w:type="spellEnd"/>
      <w:r w:rsidRPr="00A955A3">
        <w:rPr>
          <w:rFonts w:ascii="Century Gothic" w:hAnsi="Century Gothic"/>
          <w:sz w:val="22"/>
          <w:szCs w:val="22"/>
        </w:rPr>
        <w:t xml:space="preserve"> de contratação por SRP ou adesão à Ata de SRP existente. Optando-se por adesão à SRP, o Termo de Referência deve ser elaborado utilizando especificações e condições consonantes com as já estabelecidas na Ata pretendida;</w:t>
      </w:r>
    </w:p>
    <w:p w:rsidR="004E157E" w:rsidRPr="00A955A3" w:rsidRDefault="004E157E" w:rsidP="00A955A3">
      <w:pPr>
        <w:pStyle w:val="PargrafodaLista"/>
        <w:numPr>
          <w:ilvl w:val="1"/>
          <w:numId w:val="22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A955A3">
        <w:rPr>
          <w:rFonts w:ascii="Century Gothic" w:hAnsi="Century Gothic"/>
          <w:sz w:val="22"/>
          <w:szCs w:val="22"/>
        </w:rPr>
        <w:t>As informações deste item referem-se a parâmetros para nortear a elaboração do Termo de Referência, devendo serem apagadas, dando lugar à justificativa propriamente dita.</w:t>
      </w:r>
    </w:p>
    <w:p w:rsidR="004E157E" w:rsidRDefault="004E157E" w:rsidP="002A3917">
      <w:pPr>
        <w:pStyle w:val="PargrafodaLista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B37A78" w:rsidRPr="00C76562" w:rsidRDefault="00B37A78" w:rsidP="002A3917">
      <w:pPr>
        <w:pStyle w:val="PargrafodaLista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414EF2" w:rsidRPr="00C76562" w:rsidRDefault="00414EF2" w:rsidP="004100F1">
      <w:pPr>
        <w:pStyle w:val="PargrafodaLista"/>
        <w:numPr>
          <w:ilvl w:val="0"/>
          <w:numId w:val="21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lastRenderedPageBreak/>
        <w:t>DA ESPECIFICAÇÃO DETALHADA DO OBJETO</w:t>
      </w:r>
    </w:p>
    <w:p w:rsidR="00414EF2" w:rsidRPr="00C7656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t xml:space="preserve">PARA CONTRATAÇÃO DE LICENÇAS DE SOFTWARE </w:t>
      </w:r>
    </w:p>
    <w:p w:rsidR="00414EF2" w:rsidRPr="00C76562" w:rsidRDefault="00414EF2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Contratação de Licença de Software, incluídos o desenvolvimento e a manutenção, em conformidade com a especificação constante do ANEXO I a este Termo e </w:t>
      </w:r>
      <w:r w:rsidR="00CE76C5">
        <w:rPr>
          <w:rFonts w:ascii="Century Gothic" w:hAnsi="Century Gothic"/>
          <w:sz w:val="22"/>
          <w:szCs w:val="22"/>
        </w:rPr>
        <w:t xml:space="preserve">com </w:t>
      </w:r>
      <w:r w:rsidRPr="00C76562">
        <w:rPr>
          <w:rFonts w:ascii="Century Gothic" w:hAnsi="Century Gothic"/>
          <w:sz w:val="22"/>
          <w:szCs w:val="22"/>
        </w:rPr>
        <w:t>as condições a seguir estabelecidas: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No caso de aquisição de licenças, constar as características do produto citando os atributos que influenciam na solução, sem, contudo, direcionar a contratação;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Sempre que possível, utilizar a métrica de Ponto por Função</w:t>
      </w:r>
      <w:r w:rsidR="00302253">
        <w:rPr>
          <w:rFonts w:ascii="Century Gothic" w:hAnsi="Century Gothic"/>
          <w:sz w:val="22"/>
          <w:szCs w:val="22"/>
        </w:rPr>
        <w:t>,</w:t>
      </w:r>
      <w:r w:rsidRPr="00C76562">
        <w:rPr>
          <w:rFonts w:ascii="Century Gothic" w:hAnsi="Century Gothic"/>
          <w:sz w:val="22"/>
          <w:szCs w:val="22"/>
        </w:rPr>
        <w:t xml:space="preserve"> </w:t>
      </w:r>
      <w:r w:rsidR="00CE76C5" w:rsidRPr="00302253">
        <w:rPr>
          <w:rFonts w:ascii="Century Gothic" w:hAnsi="Century Gothic"/>
          <w:sz w:val="22"/>
          <w:szCs w:val="22"/>
        </w:rPr>
        <w:t>obedecida a legislação pertinente à matéria</w:t>
      </w:r>
      <w:r w:rsidR="00302253">
        <w:rPr>
          <w:rFonts w:ascii="Century Gothic" w:hAnsi="Century Gothic"/>
          <w:sz w:val="22"/>
          <w:szCs w:val="22"/>
        </w:rPr>
        <w:t>,</w:t>
      </w:r>
      <w:r w:rsidR="00CE76C5">
        <w:rPr>
          <w:rFonts w:ascii="Century Gothic" w:hAnsi="Century Gothic"/>
          <w:sz w:val="22"/>
          <w:szCs w:val="22"/>
        </w:rPr>
        <w:t xml:space="preserve"> </w:t>
      </w:r>
      <w:r w:rsidRPr="00C76562">
        <w:rPr>
          <w:rFonts w:ascii="Century Gothic" w:hAnsi="Century Gothic"/>
          <w:sz w:val="22"/>
          <w:szCs w:val="22"/>
        </w:rPr>
        <w:t>conforme o “</w:t>
      </w:r>
      <w:proofErr w:type="spellStart"/>
      <w:r w:rsidRPr="00C76562">
        <w:rPr>
          <w:rFonts w:ascii="Century Gothic" w:hAnsi="Century Gothic"/>
          <w:sz w:val="22"/>
          <w:szCs w:val="22"/>
        </w:rPr>
        <w:t>Function</w:t>
      </w:r>
      <w:proofErr w:type="spellEnd"/>
      <w:r w:rsidRPr="00C76562">
        <w:rPr>
          <w:rFonts w:ascii="Century Gothic" w:hAnsi="Century Gothic"/>
          <w:sz w:val="22"/>
          <w:szCs w:val="22"/>
        </w:rPr>
        <w:t xml:space="preserve"> Point </w:t>
      </w:r>
      <w:proofErr w:type="spellStart"/>
      <w:r w:rsidRPr="00C76562">
        <w:rPr>
          <w:rFonts w:ascii="Century Gothic" w:hAnsi="Century Gothic"/>
          <w:sz w:val="22"/>
          <w:szCs w:val="22"/>
        </w:rPr>
        <w:t>Counting</w:t>
      </w:r>
      <w:proofErr w:type="spellEnd"/>
      <w:r w:rsidRPr="00C7656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76562">
        <w:rPr>
          <w:rFonts w:ascii="Century Gothic" w:hAnsi="Century Gothic"/>
          <w:sz w:val="22"/>
          <w:szCs w:val="22"/>
        </w:rPr>
        <w:t>Practices</w:t>
      </w:r>
      <w:proofErr w:type="spellEnd"/>
      <w:r w:rsidRPr="00C76562">
        <w:rPr>
          <w:rFonts w:ascii="Century Gothic" w:hAnsi="Century Gothic"/>
          <w:sz w:val="22"/>
          <w:szCs w:val="22"/>
        </w:rPr>
        <w:t xml:space="preserve"> Manual (</w:t>
      </w:r>
      <w:proofErr w:type="gramStart"/>
      <w:r w:rsidRPr="00C76562">
        <w:rPr>
          <w:rFonts w:ascii="Century Gothic" w:hAnsi="Century Gothic"/>
          <w:sz w:val="22"/>
          <w:szCs w:val="22"/>
        </w:rPr>
        <w:t>CPM)”</w:t>
      </w:r>
      <w:proofErr w:type="gramEnd"/>
      <w:r w:rsidRPr="00C76562">
        <w:rPr>
          <w:rFonts w:ascii="Century Gothic" w:hAnsi="Century Gothic"/>
          <w:sz w:val="22"/>
          <w:szCs w:val="22"/>
        </w:rPr>
        <w:t xml:space="preserve"> versão 4.3.1, publicado pelo IFPUG – </w:t>
      </w:r>
      <w:proofErr w:type="spellStart"/>
      <w:r w:rsidRPr="00C76562">
        <w:rPr>
          <w:rFonts w:ascii="Century Gothic" w:hAnsi="Century Gothic"/>
          <w:sz w:val="22"/>
          <w:szCs w:val="22"/>
        </w:rPr>
        <w:t>International</w:t>
      </w:r>
      <w:proofErr w:type="spellEnd"/>
      <w:r w:rsidRPr="00C7656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76562">
        <w:rPr>
          <w:rFonts w:ascii="Century Gothic" w:hAnsi="Century Gothic"/>
          <w:sz w:val="22"/>
          <w:szCs w:val="22"/>
        </w:rPr>
        <w:t>Function</w:t>
      </w:r>
      <w:proofErr w:type="spellEnd"/>
      <w:r w:rsidRPr="00C76562">
        <w:rPr>
          <w:rFonts w:ascii="Century Gothic" w:hAnsi="Century Gothic"/>
          <w:sz w:val="22"/>
          <w:szCs w:val="22"/>
        </w:rPr>
        <w:t xml:space="preserve"> Point </w:t>
      </w:r>
      <w:proofErr w:type="spellStart"/>
      <w:r w:rsidRPr="00C76562">
        <w:rPr>
          <w:rFonts w:ascii="Century Gothic" w:hAnsi="Century Gothic"/>
          <w:sz w:val="22"/>
          <w:szCs w:val="22"/>
        </w:rPr>
        <w:t>Users</w:t>
      </w:r>
      <w:proofErr w:type="spellEnd"/>
      <w:r w:rsidRPr="00C7656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76562">
        <w:rPr>
          <w:rFonts w:ascii="Century Gothic" w:hAnsi="Century Gothic"/>
          <w:sz w:val="22"/>
          <w:szCs w:val="22"/>
        </w:rPr>
        <w:t>Group</w:t>
      </w:r>
      <w:proofErr w:type="spellEnd"/>
      <w:r w:rsidRPr="00C76562">
        <w:rPr>
          <w:rFonts w:ascii="Century Gothic" w:hAnsi="Century Gothic"/>
          <w:sz w:val="22"/>
          <w:szCs w:val="22"/>
        </w:rPr>
        <w:t>, e o “Roteiro de Métricas de Software” do SISP v2.0 ou superior (</w:t>
      </w:r>
      <w:hyperlink r:id="rId8" w:history="1">
        <w:r w:rsidR="00302253" w:rsidRPr="008B5A25">
          <w:rPr>
            <w:rStyle w:val="Hyperlink"/>
            <w:rFonts w:ascii="Century Gothic" w:hAnsi="Century Gothic"/>
            <w:sz w:val="22"/>
            <w:szCs w:val="22"/>
          </w:rPr>
          <w:t>www.governoeletronico.gov.br</w:t>
        </w:r>
      </w:hyperlink>
      <w:r w:rsidRPr="00C76562">
        <w:rPr>
          <w:rFonts w:ascii="Century Gothic" w:hAnsi="Century Gothic"/>
          <w:sz w:val="22"/>
          <w:szCs w:val="22"/>
        </w:rPr>
        <w:t>)</w:t>
      </w:r>
      <w:r w:rsidR="00302253">
        <w:rPr>
          <w:rFonts w:ascii="Century Gothic" w:hAnsi="Century Gothic"/>
          <w:sz w:val="22"/>
          <w:szCs w:val="22"/>
        </w:rPr>
        <w:t>, com alterações posteriores, se houver</w:t>
      </w:r>
      <w:r w:rsidRPr="00C76562">
        <w:rPr>
          <w:rFonts w:ascii="Century Gothic" w:hAnsi="Century Gothic"/>
          <w:sz w:val="22"/>
          <w:szCs w:val="22"/>
        </w:rPr>
        <w:t>. Caso seja mais vantajoso utilizar outra métrica, justificar e certificar-se de que terá como avaliar as entregas, considerando a equipe interna do órgão;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Observar o comparativo de preços de mercado, baseado na métrica de Ponto por Função, avaliando o tamanho e o valor do sistema a ser contratado;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Observar a necessidade de definir Auditoria de Sistema, de Banco de Dados e de Segurança, como por exemplo teste de invasão de sistema;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Constar a exigência de entrega de documentação e repasse tecnológico, e, sempre que viável, a transferência dos programas fontes para uso do PRODEST;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Constar a exigência de que, em caso de encerramento das atividades da CONTRATADA, serão transferidos ao PRODEST os programas fontes, documentação, atualizações tecnológicas adicionais (constar, ainda, o procedimento de transição);</w:t>
      </w:r>
    </w:p>
    <w:p w:rsidR="001D34D4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Definir o processo para a migração da base de dados existente, em caso de futura substituição da CONTRATADA, especificando suas obrigações; 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Definir o processo de absorção da base de dados existente, com as etapas de extração d</w:t>
      </w:r>
      <w:r w:rsidR="00202EEA" w:rsidRPr="00C76562">
        <w:rPr>
          <w:rFonts w:ascii="Century Gothic" w:hAnsi="Century Gothic"/>
          <w:sz w:val="22"/>
          <w:szCs w:val="22"/>
        </w:rPr>
        <w:t>e</w:t>
      </w:r>
      <w:r w:rsidRPr="00C76562">
        <w:rPr>
          <w:rFonts w:ascii="Century Gothic" w:hAnsi="Century Gothic"/>
          <w:sz w:val="22"/>
          <w:szCs w:val="22"/>
        </w:rPr>
        <w:t xml:space="preserve"> dados na base atual, depuração dos dados extraídos e carga na nova base, em caso de </w:t>
      </w:r>
      <w:proofErr w:type="spellStart"/>
      <w:r w:rsidRPr="00C76562">
        <w:rPr>
          <w:rFonts w:ascii="Century Gothic" w:hAnsi="Century Gothic"/>
          <w:sz w:val="22"/>
          <w:szCs w:val="22"/>
        </w:rPr>
        <w:t>redesenvolvimento</w:t>
      </w:r>
      <w:proofErr w:type="spellEnd"/>
      <w:r w:rsidRPr="00C76562">
        <w:rPr>
          <w:rFonts w:ascii="Century Gothic" w:hAnsi="Century Gothic"/>
          <w:sz w:val="22"/>
          <w:szCs w:val="22"/>
        </w:rPr>
        <w:t xml:space="preserve"> de sistemas já existentes;</w:t>
      </w:r>
    </w:p>
    <w:p w:rsidR="00414EF2" w:rsidRPr="00045C4F" w:rsidRDefault="00414EF2" w:rsidP="00045C4F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045C4F">
        <w:rPr>
          <w:rFonts w:ascii="Century Gothic" w:hAnsi="Century Gothic"/>
          <w:sz w:val="22"/>
          <w:szCs w:val="22"/>
        </w:rPr>
        <w:t xml:space="preserve">Explicitar o direito de propriedade intelectual do PRODEST, incluídos códigos fonte, documentação, componentes básicos, bibliotecas, </w:t>
      </w:r>
      <w:proofErr w:type="spellStart"/>
      <w:proofErr w:type="gramStart"/>
      <w:r w:rsidRPr="00045C4F">
        <w:rPr>
          <w:rFonts w:ascii="Century Gothic" w:hAnsi="Century Gothic"/>
          <w:sz w:val="22"/>
          <w:szCs w:val="22"/>
        </w:rPr>
        <w:t>etc</w:t>
      </w:r>
      <w:proofErr w:type="spellEnd"/>
      <w:r w:rsidRPr="00045C4F">
        <w:rPr>
          <w:rFonts w:ascii="Century Gothic" w:hAnsi="Century Gothic"/>
          <w:sz w:val="22"/>
          <w:szCs w:val="22"/>
        </w:rPr>
        <w:t>,  quando</w:t>
      </w:r>
      <w:proofErr w:type="gramEnd"/>
      <w:r w:rsidRPr="00045C4F">
        <w:rPr>
          <w:rFonts w:ascii="Century Gothic" w:hAnsi="Century Gothic"/>
          <w:sz w:val="22"/>
          <w:szCs w:val="22"/>
        </w:rPr>
        <w:t xml:space="preserve"> da elaboração de programa de computador durante a vigência de contrato, conforme  </w:t>
      </w:r>
      <w:r w:rsidR="00921323" w:rsidRPr="00045C4F">
        <w:rPr>
          <w:rFonts w:ascii="Century Gothic" w:hAnsi="Century Gothic"/>
          <w:sz w:val="22"/>
          <w:szCs w:val="22"/>
        </w:rPr>
        <w:t>Lei nº 9.609/98,</w:t>
      </w:r>
      <w:r w:rsidRPr="00045C4F">
        <w:rPr>
          <w:rFonts w:ascii="Century Gothic" w:hAnsi="Century Gothic"/>
          <w:sz w:val="22"/>
          <w:szCs w:val="22"/>
        </w:rPr>
        <w:t xml:space="preserve"> 9.610/98</w:t>
      </w:r>
      <w:r w:rsidR="00921323" w:rsidRPr="00045C4F">
        <w:rPr>
          <w:rFonts w:ascii="Century Gothic" w:hAnsi="Century Gothic"/>
          <w:sz w:val="22"/>
          <w:szCs w:val="22"/>
        </w:rPr>
        <w:t xml:space="preserve"> e demais normas pertinentes à matéria</w:t>
      </w:r>
      <w:r w:rsidRPr="00045C4F">
        <w:rPr>
          <w:rFonts w:ascii="Century Gothic" w:hAnsi="Century Gothic"/>
          <w:sz w:val="22"/>
          <w:szCs w:val="22"/>
        </w:rPr>
        <w:t xml:space="preserve">. </w:t>
      </w:r>
      <w:r w:rsidR="00921323" w:rsidRPr="00045C4F">
        <w:rPr>
          <w:rFonts w:ascii="Century Gothic" w:hAnsi="Century Gothic"/>
          <w:sz w:val="22"/>
          <w:szCs w:val="22"/>
        </w:rPr>
        <w:t xml:space="preserve">A futura </w:t>
      </w:r>
      <w:r w:rsidR="00C82D23" w:rsidRPr="00045C4F">
        <w:rPr>
          <w:rFonts w:ascii="Century Gothic" w:hAnsi="Century Gothic"/>
          <w:sz w:val="22"/>
          <w:szCs w:val="22"/>
        </w:rPr>
        <w:t>contratada</w:t>
      </w:r>
      <w:r w:rsidR="00921323" w:rsidRPr="00045C4F">
        <w:rPr>
          <w:rFonts w:ascii="Century Gothic" w:hAnsi="Century Gothic"/>
          <w:sz w:val="22"/>
          <w:szCs w:val="22"/>
        </w:rPr>
        <w:t xml:space="preserve"> também n</w:t>
      </w:r>
      <w:r w:rsidRPr="00045C4F">
        <w:rPr>
          <w:rFonts w:ascii="Century Gothic" w:hAnsi="Century Gothic"/>
          <w:sz w:val="22"/>
          <w:szCs w:val="22"/>
        </w:rPr>
        <w:t>ão poderá</w:t>
      </w:r>
      <w:r w:rsidR="00921323" w:rsidRPr="00045C4F">
        <w:rPr>
          <w:rFonts w:ascii="Century Gothic" w:hAnsi="Century Gothic"/>
          <w:sz w:val="22"/>
          <w:szCs w:val="22"/>
        </w:rPr>
        <w:t xml:space="preserve"> </w:t>
      </w:r>
      <w:r w:rsidRPr="00045C4F">
        <w:rPr>
          <w:rFonts w:ascii="Century Gothic" w:hAnsi="Century Gothic"/>
          <w:sz w:val="22"/>
          <w:szCs w:val="22"/>
        </w:rPr>
        <w:t>reclamar direitos autorais sobre o objeto que vier a ser desenvolvido para o PRODEST, bem como quaisquer produtos deste originados;</w:t>
      </w:r>
    </w:p>
    <w:p w:rsidR="00414EF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Constar que a CONTRATADA deverá disponibilizar os códigos-fonte de frameworks que tenham sido desenvolvidos por ela para agilizar qualquer etapa de customização/manutenção a ser entregue ao PRODEST;</w:t>
      </w:r>
    </w:p>
    <w:p w:rsidR="00B37A78" w:rsidRPr="00C76562" w:rsidRDefault="00B37A78" w:rsidP="00B37A78">
      <w:pPr>
        <w:pStyle w:val="PargrafodaLista"/>
        <w:spacing w:after="120" w:line="276" w:lineRule="auto"/>
        <w:ind w:left="1080"/>
        <w:jc w:val="both"/>
        <w:rPr>
          <w:rFonts w:ascii="Century Gothic" w:hAnsi="Century Gothic"/>
          <w:sz w:val="22"/>
          <w:szCs w:val="22"/>
        </w:rPr>
      </w:pPr>
    </w:p>
    <w:p w:rsidR="00414EF2" w:rsidRPr="00C7656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lastRenderedPageBreak/>
        <w:t>PARA SERVIÇOS DE TI - CONSULTORIA E SUPORTE TÉCNICO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Constar as características do serviço citando sua abrangência, prazo para atendimento e para solução de problema, local em que será realizado o serviço, horário de execução, etc., sem, contudo, direcionar a contratação;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Definir o ambiente tecnológico envolvido na prestação do serviço, informando a Plataforma, Sistema Operacional para Servidores, Servidor WEB, Sistemas Gerenciadores de Banco de Dados, Servidor de Aplicação, Linguagem IDE (</w:t>
      </w:r>
      <w:proofErr w:type="spellStart"/>
      <w:r w:rsidRPr="00C76562">
        <w:rPr>
          <w:rFonts w:ascii="Century Gothic" w:hAnsi="Century Gothic"/>
          <w:sz w:val="22"/>
          <w:szCs w:val="22"/>
        </w:rPr>
        <w:t>Integrated</w:t>
      </w:r>
      <w:proofErr w:type="spellEnd"/>
      <w:r w:rsidRPr="00C7656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76562">
        <w:rPr>
          <w:rFonts w:ascii="Century Gothic" w:hAnsi="Century Gothic"/>
          <w:sz w:val="22"/>
          <w:szCs w:val="22"/>
        </w:rPr>
        <w:t>Developement</w:t>
      </w:r>
      <w:proofErr w:type="spellEnd"/>
      <w:r w:rsidRPr="00C7656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76562">
        <w:rPr>
          <w:rFonts w:ascii="Century Gothic" w:hAnsi="Century Gothic"/>
          <w:sz w:val="22"/>
          <w:szCs w:val="22"/>
        </w:rPr>
        <w:t>Environment</w:t>
      </w:r>
      <w:proofErr w:type="spellEnd"/>
      <w:r w:rsidRPr="00C76562">
        <w:rPr>
          <w:rFonts w:ascii="Century Gothic" w:hAnsi="Century Gothic"/>
          <w:sz w:val="22"/>
          <w:szCs w:val="22"/>
        </w:rPr>
        <w:t>), Componentes de Software e Framework de Desenvolvimento;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Definir NÍVEIS MÍNIMOS DE SERVIÇO – SLA e deduções (glosas) para o não cumprimento dos mesmos, sem prejuízo das sanções contratuais e legais, descrevendo os percentuais aplicáveis a cada caso. Ex.: Se o prazo médio para solução dos problemas é de x horas e se a meta é atingir 99% dos problemas no prazo, utilizar glosa de y% do valor da fatura pelo não atingimento da meta, podendo a glosa ser ainda definida em degraus, ou seja, quanto menor o atingimento, maior o desconto;</w:t>
      </w:r>
    </w:p>
    <w:p w:rsidR="00414EF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Em caso de contratação de Desenvolvimento de Sistemas, utilizar como métrica, preferencialmente, Unidade de Serviços Técnicos (UST), conforme ANEXO I, ou justificar a utilização de métrica diferente;</w:t>
      </w:r>
    </w:p>
    <w:p w:rsidR="007A154D" w:rsidRPr="001F7167" w:rsidRDefault="007A154D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1F7167">
        <w:rPr>
          <w:rFonts w:ascii="Century Gothic" w:hAnsi="Century Gothic"/>
          <w:sz w:val="22"/>
          <w:szCs w:val="22"/>
        </w:rPr>
        <w:t xml:space="preserve">Identificar o objeto com detalhamento de </w:t>
      </w:r>
      <w:r w:rsidR="001F7167">
        <w:rPr>
          <w:rFonts w:ascii="Century Gothic" w:hAnsi="Century Gothic"/>
          <w:sz w:val="22"/>
          <w:szCs w:val="22"/>
        </w:rPr>
        <w:t xml:space="preserve">todos os </w:t>
      </w:r>
      <w:r w:rsidRPr="001F7167">
        <w:rPr>
          <w:rFonts w:ascii="Century Gothic" w:hAnsi="Century Gothic"/>
          <w:sz w:val="22"/>
          <w:szCs w:val="22"/>
        </w:rPr>
        <w:t xml:space="preserve">itens de serviços, </w:t>
      </w:r>
      <w:r w:rsidR="001F7167" w:rsidRPr="001F7167">
        <w:rPr>
          <w:rFonts w:ascii="Century Gothic" w:hAnsi="Century Gothic"/>
          <w:sz w:val="22"/>
          <w:szCs w:val="22"/>
        </w:rPr>
        <w:t xml:space="preserve">possibilitando a especificação </w:t>
      </w:r>
      <w:r w:rsidR="00A154DD">
        <w:rPr>
          <w:rFonts w:ascii="Century Gothic" w:hAnsi="Century Gothic"/>
          <w:sz w:val="22"/>
          <w:szCs w:val="22"/>
        </w:rPr>
        <w:t xml:space="preserve">de preços para </w:t>
      </w:r>
      <w:proofErr w:type="gramStart"/>
      <w:r w:rsidR="00A154DD">
        <w:rPr>
          <w:rFonts w:ascii="Century Gothic" w:hAnsi="Century Gothic"/>
          <w:sz w:val="22"/>
          <w:szCs w:val="22"/>
        </w:rPr>
        <w:t xml:space="preserve">cada </w:t>
      </w:r>
      <w:r w:rsidR="001F7167" w:rsidRPr="001F7167">
        <w:rPr>
          <w:rFonts w:ascii="Century Gothic" w:hAnsi="Century Gothic"/>
          <w:sz w:val="22"/>
          <w:szCs w:val="22"/>
        </w:rPr>
        <w:t xml:space="preserve"> ite</w:t>
      </w:r>
      <w:r w:rsidR="00A154DD">
        <w:rPr>
          <w:rFonts w:ascii="Century Gothic" w:hAnsi="Century Gothic"/>
          <w:sz w:val="22"/>
          <w:szCs w:val="22"/>
        </w:rPr>
        <w:t>m</w:t>
      </w:r>
      <w:proofErr w:type="gramEnd"/>
      <w:r w:rsidR="00A154DD">
        <w:rPr>
          <w:rFonts w:ascii="Century Gothic" w:hAnsi="Century Gothic"/>
          <w:sz w:val="22"/>
          <w:szCs w:val="22"/>
        </w:rPr>
        <w:t xml:space="preserve"> contratado</w:t>
      </w:r>
      <w:r w:rsidR="001F7167" w:rsidRPr="001F7167">
        <w:rPr>
          <w:rFonts w:ascii="Century Gothic" w:hAnsi="Century Gothic"/>
          <w:sz w:val="22"/>
          <w:szCs w:val="22"/>
        </w:rPr>
        <w:t>, evitando</w:t>
      </w:r>
      <w:r w:rsidRPr="001F7167">
        <w:rPr>
          <w:rFonts w:ascii="Century Gothic" w:hAnsi="Century Gothic"/>
          <w:sz w:val="22"/>
          <w:szCs w:val="22"/>
        </w:rPr>
        <w:t xml:space="preserve"> preço generalizado que não possa ser comparado aos praticados por outros órgãos e/ou empresas do mercado. Tal prática facilita a gestão e permite aditamento de apenas alguns itens;</w:t>
      </w:r>
    </w:p>
    <w:p w:rsidR="007A154D" w:rsidRPr="00C76562" w:rsidRDefault="007A154D" w:rsidP="001F7167">
      <w:pPr>
        <w:pStyle w:val="PargrafodaLista"/>
        <w:spacing w:after="120" w:line="276" w:lineRule="auto"/>
        <w:ind w:left="0"/>
        <w:jc w:val="both"/>
        <w:rPr>
          <w:rFonts w:ascii="Century Gothic" w:hAnsi="Century Gothic"/>
          <w:sz w:val="22"/>
          <w:szCs w:val="22"/>
        </w:rPr>
      </w:pPr>
    </w:p>
    <w:p w:rsidR="00414EF2" w:rsidRPr="00C7656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t>PARA TREINAMENTO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Havendo necessidade de treinamento, deve ser detalhada a forma em que o mesmo será prestado: abordagem, carga horária, público alvo, quantitativo de turmas e de participantes, local em que será realizado, responsável pelo laboratório e pelo material a ser utilizado, etc.;</w:t>
      </w:r>
    </w:p>
    <w:p w:rsidR="00414EF2" w:rsidRPr="00C7656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t xml:space="preserve">DA NATUREZA DO OBJETO 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Caso o TR envolva aquisição/contratação de bens/serviços  classificados como “comuns”, a área demandante deverá inserir o item abaixo: </w:t>
      </w:r>
    </w:p>
    <w:p w:rsidR="00414EF2" w:rsidRPr="00C76562" w:rsidRDefault="00414EF2" w:rsidP="00476945">
      <w:pPr>
        <w:pStyle w:val="PargrafodaLista"/>
        <w:spacing w:after="120" w:line="276" w:lineRule="auto"/>
        <w:jc w:val="both"/>
        <w:rPr>
          <w:rFonts w:ascii="Century Gothic" w:hAnsi="Century Gothic"/>
          <w:i/>
          <w:sz w:val="22"/>
          <w:szCs w:val="22"/>
        </w:rPr>
      </w:pPr>
      <w:r w:rsidRPr="00C76562">
        <w:rPr>
          <w:rFonts w:ascii="Century Gothic" w:hAnsi="Century Gothic"/>
          <w:i/>
          <w:sz w:val="22"/>
          <w:szCs w:val="22"/>
        </w:rPr>
        <w:t>“O objeto a ser contratado é considerado comum, pois têm especificações usuais, caracterizando-se por padrões de desempenho e qualidade que podem ser objetivamente definidos e entendidos pelo mercado, na forma do Decreto estadual nº 2.458-R/2010.”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Caso o TR envolva também a prestação de serviços contínuos, a área demandante deve especificar, ainda: </w:t>
      </w:r>
    </w:p>
    <w:p w:rsidR="00414EF2" w:rsidRPr="00C76562" w:rsidRDefault="00414EF2" w:rsidP="00476945">
      <w:pPr>
        <w:pStyle w:val="PargrafodaLista"/>
        <w:spacing w:after="120" w:line="276" w:lineRule="auto"/>
        <w:jc w:val="both"/>
        <w:rPr>
          <w:rFonts w:ascii="Century Gothic" w:hAnsi="Century Gothic"/>
          <w:i/>
          <w:sz w:val="22"/>
          <w:szCs w:val="22"/>
        </w:rPr>
      </w:pPr>
      <w:r w:rsidRPr="00C76562">
        <w:rPr>
          <w:rFonts w:ascii="Century Gothic" w:hAnsi="Century Gothic"/>
          <w:i/>
          <w:sz w:val="22"/>
          <w:szCs w:val="22"/>
        </w:rPr>
        <w:t>“O objeto pretendido é considerado serviço continuo, pois sua interrupção poderá causar prejuízos à Administração e, por conseguinte, ao interesse público. ”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lastRenderedPageBreak/>
        <w:t xml:space="preserve">Se houver a necessidade de exigência de algum documento de atendimento a requisito técnico, operacional, </w:t>
      </w:r>
      <w:proofErr w:type="spellStart"/>
      <w:r w:rsidRPr="00C76562">
        <w:rPr>
          <w:rFonts w:ascii="Century Gothic" w:hAnsi="Century Gothic"/>
          <w:sz w:val="22"/>
          <w:szCs w:val="22"/>
        </w:rPr>
        <w:t>etc</w:t>
      </w:r>
      <w:proofErr w:type="spellEnd"/>
      <w:r w:rsidRPr="00C76562">
        <w:rPr>
          <w:rFonts w:ascii="Century Gothic" w:hAnsi="Century Gothic"/>
          <w:sz w:val="22"/>
          <w:szCs w:val="22"/>
        </w:rPr>
        <w:t>, específico do objeto pretendido, a área demandante também deve apresentar, neste espaço, a devida justificativa. A exigência do documento propriamente dito, deve constar do item HABILITAÇÃO TÉCNICA;</w:t>
      </w:r>
    </w:p>
    <w:p w:rsidR="00414EF2" w:rsidRPr="00C7656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t>DOS RESULTADOS ESPERADOS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Informar os resultados que se espera da contratação e, se couber, constar a forma de medir os resultados.</w:t>
      </w:r>
    </w:p>
    <w:p w:rsidR="00414EF2" w:rsidRPr="00C76562" w:rsidRDefault="00476945" w:rsidP="00476945">
      <w:pPr>
        <w:pStyle w:val="PargrafodaLista"/>
        <w:spacing w:after="120" w:line="276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Exemplo:</w:t>
      </w:r>
    </w:p>
    <w:p w:rsidR="00414EF2" w:rsidRPr="00C76562" w:rsidRDefault="00414EF2" w:rsidP="00B1025F">
      <w:pPr>
        <w:pStyle w:val="PargrafodaLista"/>
        <w:numPr>
          <w:ilvl w:val="0"/>
          <w:numId w:val="1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Permitir agregar funcionalidades;</w:t>
      </w:r>
    </w:p>
    <w:p w:rsidR="00414EF2" w:rsidRPr="00C76562" w:rsidRDefault="00414EF2" w:rsidP="00B1025F">
      <w:pPr>
        <w:pStyle w:val="PargrafodaLista"/>
        <w:numPr>
          <w:ilvl w:val="0"/>
          <w:numId w:val="1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Agregar capacidade;</w:t>
      </w:r>
    </w:p>
    <w:p w:rsidR="00414EF2" w:rsidRPr="00C76562" w:rsidRDefault="00414EF2" w:rsidP="00B1025F">
      <w:pPr>
        <w:pStyle w:val="PargrafodaLista"/>
        <w:numPr>
          <w:ilvl w:val="0"/>
          <w:numId w:val="1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Atender SLA através da contratação de garantia;</w:t>
      </w:r>
    </w:p>
    <w:p w:rsidR="00414EF2" w:rsidRPr="00C76562" w:rsidRDefault="00414EF2" w:rsidP="00B1025F">
      <w:pPr>
        <w:pStyle w:val="PargrafodaLista"/>
        <w:numPr>
          <w:ilvl w:val="0"/>
          <w:numId w:val="1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Como medir: quando dos aceites das entregas, incluir o atingimento dos resultados;</w:t>
      </w:r>
    </w:p>
    <w:p w:rsidR="00414EF2" w:rsidRPr="00C76562" w:rsidRDefault="00414EF2" w:rsidP="00B1025F">
      <w:pPr>
        <w:pStyle w:val="PargrafodaLista"/>
        <w:numPr>
          <w:ilvl w:val="0"/>
          <w:numId w:val="1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Evitar utilizar resultados genéricos não mensuráveis como “melhoria dos serviços públicos...”, mas buscar identificar as melhorias como, p. ex. “diminuição da fila de espera” e explicar em função de que haverá a melhoria e, sempre que possível, quanto melhorará (p.ex. percentualmente);</w:t>
      </w:r>
    </w:p>
    <w:p w:rsidR="00414EF2" w:rsidRPr="00C76562" w:rsidRDefault="00414EF2" w:rsidP="00B1025F">
      <w:pPr>
        <w:pStyle w:val="PargrafodaLista"/>
        <w:numPr>
          <w:ilvl w:val="0"/>
          <w:numId w:val="1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Discorrer sobre a relação ou dependência do projeto almejado com outros projetos ou ações.</w:t>
      </w:r>
    </w:p>
    <w:p w:rsidR="00414EF2" w:rsidRPr="00C76562" w:rsidRDefault="00414EF2" w:rsidP="004100F1">
      <w:pPr>
        <w:pStyle w:val="PargrafodaLista"/>
        <w:numPr>
          <w:ilvl w:val="0"/>
          <w:numId w:val="21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t>DAS RESPONSABILIDADES DAS PARTES</w:t>
      </w:r>
    </w:p>
    <w:p w:rsidR="00414EF2" w:rsidRPr="00C76562" w:rsidRDefault="00DE7B6A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DA</w:t>
      </w:r>
      <w:r w:rsidR="00414EF2" w:rsidRPr="00C76562">
        <w:rPr>
          <w:rFonts w:ascii="Century Gothic" w:hAnsi="Century Gothic"/>
          <w:b/>
          <w:sz w:val="22"/>
          <w:szCs w:val="22"/>
        </w:rPr>
        <w:t xml:space="preserve"> C</w:t>
      </w:r>
      <w:r>
        <w:rPr>
          <w:rFonts w:ascii="Century Gothic" w:hAnsi="Century Gothic"/>
          <w:b/>
          <w:sz w:val="22"/>
          <w:szCs w:val="22"/>
        </w:rPr>
        <w:t>ONTRATADA</w:t>
      </w:r>
      <w:r w:rsidR="00414EF2" w:rsidRPr="00C76562">
        <w:rPr>
          <w:rFonts w:ascii="Century Gothic" w:hAnsi="Century Gothic"/>
          <w:b/>
          <w:sz w:val="22"/>
          <w:szCs w:val="22"/>
        </w:rPr>
        <w:t>:</w:t>
      </w:r>
    </w:p>
    <w:p w:rsidR="00366DE2" w:rsidRPr="007E0AF7" w:rsidRDefault="00366DE2" w:rsidP="004100F1">
      <w:pPr>
        <w:numPr>
          <w:ilvl w:val="2"/>
          <w:numId w:val="21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Entregar o objeto contratado de acordo com o previsto nas especificações constantes do Termo de Referência, do instrumento contratual e do Edital;</w:t>
      </w:r>
    </w:p>
    <w:p w:rsidR="00366DE2" w:rsidRPr="007E0AF7" w:rsidRDefault="00366DE2" w:rsidP="004100F1">
      <w:pPr>
        <w:numPr>
          <w:ilvl w:val="2"/>
          <w:numId w:val="21"/>
        </w:numPr>
        <w:spacing w:after="120"/>
        <w:jc w:val="both"/>
        <w:rPr>
          <w:rFonts w:ascii="Century Gothic" w:eastAsia="Batang" w:hAnsi="Century Gothic"/>
          <w:sz w:val="22"/>
          <w:szCs w:val="22"/>
        </w:rPr>
      </w:pPr>
      <w:r w:rsidRPr="007E0AF7">
        <w:rPr>
          <w:rFonts w:ascii="Century Gothic" w:eastAsia="Batang" w:hAnsi="Century Gothic"/>
          <w:sz w:val="22"/>
          <w:szCs w:val="22"/>
        </w:rPr>
        <w:t>Responsabilizar-se pela regular quitação de taxas de licenças para execução dos serviços, dependentes de quaisquer autoridades federais, estaduais e/ou municipais;</w:t>
      </w:r>
    </w:p>
    <w:p w:rsidR="00366DE2" w:rsidRPr="007E0AF7" w:rsidRDefault="00366DE2" w:rsidP="004100F1">
      <w:pPr>
        <w:numPr>
          <w:ilvl w:val="2"/>
          <w:numId w:val="21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Apresentar a Nota Fiscal, acompanhada dos comprovantes de quitação dos encargos fiscais/sociais e do relatório detalhado da execução do objeto;</w:t>
      </w:r>
    </w:p>
    <w:p w:rsidR="00366DE2" w:rsidRPr="007E0AF7" w:rsidRDefault="00366DE2" w:rsidP="004100F1">
      <w:pPr>
        <w:numPr>
          <w:ilvl w:val="2"/>
          <w:numId w:val="21"/>
        </w:numPr>
        <w:spacing w:after="120"/>
        <w:jc w:val="both"/>
        <w:rPr>
          <w:rFonts w:ascii="Century Gothic" w:eastAsia="Batang" w:hAnsi="Century Gothic"/>
          <w:sz w:val="22"/>
          <w:szCs w:val="22"/>
        </w:rPr>
      </w:pPr>
      <w:r w:rsidRPr="007E0AF7">
        <w:rPr>
          <w:rFonts w:ascii="Century Gothic" w:eastAsia="Batang" w:hAnsi="Century Gothic"/>
          <w:sz w:val="22"/>
          <w:szCs w:val="22"/>
        </w:rPr>
        <w:t>Responsabilizar-se, perante o PRODEST e/ou terceiros, pela cobertura dos riscos de acidentes de trabalho de seus empregados, prepostos ou contratados, por todos os ônus, encargos, perdas e/ou danos porventura resultantes da execução do objeto;</w:t>
      </w:r>
    </w:p>
    <w:p w:rsidR="00414EF2" w:rsidRPr="00C76562" w:rsidRDefault="000B1A60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DA CONTRATANTE</w:t>
      </w:r>
      <w:r w:rsidR="00414EF2" w:rsidRPr="00C76562">
        <w:rPr>
          <w:rFonts w:ascii="Century Gothic" w:hAnsi="Century Gothic"/>
          <w:b/>
          <w:sz w:val="22"/>
          <w:szCs w:val="22"/>
        </w:rPr>
        <w:t>: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Efetuar o pagamento do preço do objeto, nos termos do contrato;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Designar servidor responsável pelo acompanhamento e fiscalização na entrega do objeto;</w:t>
      </w:r>
    </w:p>
    <w:p w:rsidR="00414EF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Notificar a contratada, por escrito, de quaisquer irregularidades que venham ocorrer, </w:t>
      </w:r>
      <w:r w:rsidR="00B37A78">
        <w:rPr>
          <w:rFonts w:ascii="Century Gothic" w:hAnsi="Century Gothic"/>
          <w:sz w:val="22"/>
          <w:szCs w:val="22"/>
        </w:rPr>
        <w:t>em função da execução do objeto.</w:t>
      </w:r>
    </w:p>
    <w:p w:rsidR="00B37A78" w:rsidRPr="00C76562" w:rsidRDefault="00B37A78" w:rsidP="00B37A78">
      <w:pPr>
        <w:pStyle w:val="PargrafodaLista"/>
        <w:spacing w:after="120" w:line="276" w:lineRule="auto"/>
        <w:ind w:left="1080"/>
        <w:jc w:val="both"/>
        <w:rPr>
          <w:rFonts w:ascii="Century Gothic" w:hAnsi="Century Gothic"/>
          <w:sz w:val="22"/>
          <w:szCs w:val="22"/>
        </w:rPr>
      </w:pPr>
    </w:p>
    <w:p w:rsidR="00414EF2" w:rsidRPr="00C76562" w:rsidRDefault="00414EF2" w:rsidP="004100F1">
      <w:pPr>
        <w:pStyle w:val="PargrafodaLista"/>
        <w:numPr>
          <w:ilvl w:val="0"/>
          <w:numId w:val="21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lastRenderedPageBreak/>
        <w:t>DA HABILITAÇÃO TÉCNICA</w:t>
      </w:r>
    </w:p>
    <w:p w:rsidR="00414EF2" w:rsidRPr="00C7656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A exigência básica que consta da Minuta Padrão de edital publicado no site www.pge.es.gov.br é a apresentação de um atestado de capacidade técnica. A redação sugerida é:</w:t>
      </w:r>
    </w:p>
    <w:p w:rsidR="00414EF2" w:rsidRPr="00C76562" w:rsidRDefault="00414EF2" w:rsidP="00476945">
      <w:pPr>
        <w:pStyle w:val="PargrafodaLista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“Comprovação de que o licitante forneceu objeto, sem restrição, de natureza semelhante ao indicado no Anexo I do edital. A comprovação será feita por meio de apresentação de no mínimo 1 (um) atestado de capacidade técnica fornecido por Órgãos da Administração Pública ou Entidade Privada, devidamente assinado, carimbado e em papel timbrado da empresa ou órgão tomador, compatível com o objeto d</w:t>
      </w:r>
      <w:r w:rsidR="003D5C51" w:rsidRPr="00C76562">
        <w:rPr>
          <w:rFonts w:ascii="Century Gothic" w:hAnsi="Century Gothic"/>
          <w:sz w:val="22"/>
          <w:szCs w:val="22"/>
        </w:rPr>
        <w:t>a</w:t>
      </w:r>
      <w:r w:rsidRPr="00C76562">
        <w:rPr>
          <w:rFonts w:ascii="Century Gothic" w:hAnsi="Century Gothic"/>
          <w:sz w:val="22"/>
          <w:szCs w:val="22"/>
        </w:rPr>
        <w:t xml:space="preserve"> licitação;”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O elaborador do termo poderá definir critérios que garantam a “similaridade” do objeto prescrito no atestado, observando, porém, os limites estabelecidos n</w:t>
      </w:r>
      <w:r w:rsidR="001608AA" w:rsidRPr="00C76562">
        <w:rPr>
          <w:rFonts w:ascii="Century Gothic" w:hAnsi="Century Gothic"/>
          <w:sz w:val="22"/>
          <w:szCs w:val="22"/>
        </w:rPr>
        <w:t>a</w:t>
      </w:r>
      <w:r w:rsidRPr="00C76562">
        <w:rPr>
          <w:rFonts w:ascii="Century Gothic" w:hAnsi="Century Gothic"/>
          <w:sz w:val="22"/>
          <w:szCs w:val="22"/>
        </w:rPr>
        <w:t xml:space="preserve"> Lei </w:t>
      </w:r>
      <w:r w:rsidR="001608AA" w:rsidRPr="00C76562">
        <w:rPr>
          <w:rFonts w:ascii="Century Gothic" w:hAnsi="Century Gothic"/>
          <w:sz w:val="22"/>
          <w:szCs w:val="22"/>
        </w:rPr>
        <w:t>de Licitações e Contratos</w:t>
      </w:r>
      <w:r w:rsidRPr="00C76562">
        <w:rPr>
          <w:rFonts w:ascii="Century Gothic" w:hAnsi="Century Gothic"/>
          <w:sz w:val="22"/>
          <w:szCs w:val="22"/>
        </w:rPr>
        <w:t>.</w:t>
      </w:r>
    </w:p>
    <w:p w:rsidR="00414EF2" w:rsidRPr="00C7656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A exigência de capacitação técnica do pessoal que irá prestar os serviços, deve ser especificada por exigência de declaração que garante a apresentação de documentos que serão entregues somente no ato da assinatura do contrato. </w:t>
      </w:r>
    </w:p>
    <w:p w:rsidR="00414EF2" w:rsidRPr="00C7656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Em caso de mão de obra com dedicação exclusiva e locada na sede do PRODEST, deve ser exigida declaração de que o licitante comprovará na assinatura do contrato o vínculo trabalhista dos profissionais que estarão envolvidos na execução do objeto;</w:t>
      </w:r>
    </w:p>
    <w:p w:rsidR="00414EF2" w:rsidRPr="00C76562" w:rsidRDefault="00414EF2" w:rsidP="00554950">
      <w:pPr>
        <w:pStyle w:val="PargrafodaLista"/>
        <w:spacing w:after="120" w:line="276" w:lineRule="auto"/>
        <w:jc w:val="both"/>
        <w:rPr>
          <w:rFonts w:ascii="Century Gothic" w:hAnsi="Century Gothic"/>
          <w:i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  <w:u w:val="single"/>
        </w:rPr>
        <w:t>Exemplo:</w:t>
      </w:r>
      <w:r w:rsidR="00554950" w:rsidRPr="00C76562">
        <w:rPr>
          <w:rFonts w:ascii="Century Gothic" w:hAnsi="Century Gothic"/>
          <w:sz w:val="22"/>
          <w:szCs w:val="22"/>
        </w:rPr>
        <w:t xml:space="preserve"> </w:t>
      </w:r>
      <w:r w:rsidRPr="00C76562">
        <w:rPr>
          <w:rFonts w:ascii="Century Gothic" w:hAnsi="Century Gothic"/>
          <w:i/>
          <w:sz w:val="22"/>
          <w:szCs w:val="22"/>
        </w:rPr>
        <w:t>“Apresentar declaração se comprometendo a entregar, quando da assinatura do contrato, currículo do profissional que atuará na execução do objeto, o qual deve possuir vínculo empregatício em CTPS e experiência comprovada na execução do objeto pretendido”;</w:t>
      </w:r>
    </w:p>
    <w:p w:rsidR="00414EF2" w:rsidRPr="00C7656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É permitido o somatório de atestados para fins de comprovação da capacidade técnica da licitante.</w:t>
      </w:r>
    </w:p>
    <w:p w:rsidR="00414EF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A exigência de outros documentos de Habilitação Técnica que venham garantir a qualidade dos produtos ou serviços tais como Certificados, Atestados, Declarações, Apresentação de Amostra, etc., pode ser esp</w:t>
      </w:r>
      <w:r w:rsidR="001608AA" w:rsidRPr="00C76562">
        <w:rPr>
          <w:rFonts w:ascii="Century Gothic" w:hAnsi="Century Gothic"/>
          <w:sz w:val="22"/>
          <w:szCs w:val="22"/>
        </w:rPr>
        <w:t>ecificada observando-se</w:t>
      </w:r>
      <w:r w:rsidR="00476945" w:rsidRPr="00C76562">
        <w:rPr>
          <w:rFonts w:ascii="Century Gothic" w:hAnsi="Century Gothic"/>
          <w:sz w:val="22"/>
          <w:szCs w:val="22"/>
        </w:rPr>
        <w:t xml:space="preserve"> </w:t>
      </w:r>
      <w:r w:rsidR="001608AA" w:rsidRPr="00C76562">
        <w:rPr>
          <w:rFonts w:ascii="Century Gothic" w:hAnsi="Century Gothic"/>
          <w:sz w:val="22"/>
          <w:szCs w:val="22"/>
        </w:rPr>
        <w:t>o</w:t>
      </w:r>
      <w:r w:rsidRPr="00C76562">
        <w:rPr>
          <w:rFonts w:ascii="Century Gothic" w:hAnsi="Century Gothic"/>
          <w:sz w:val="22"/>
          <w:szCs w:val="22"/>
        </w:rPr>
        <w:t>s limites estabelecidos n</w:t>
      </w:r>
      <w:r w:rsidR="001608AA" w:rsidRPr="00C76562">
        <w:rPr>
          <w:rFonts w:ascii="Century Gothic" w:hAnsi="Century Gothic"/>
          <w:sz w:val="22"/>
          <w:szCs w:val="22"/>
        </w:rPr>
        <w:t>a legislação</w:t>
      </w:r>
      <w:r w:rsidRPr="00C76562">
        <w:rPr>
          <w:rFonts w:ascii="Century Gothic" w:hAnsi="Century Gothic"/>
          <w:sz w:val="22"/>
          <w:szCs w:val="22"/>
        </w:rPr>
        <w:t>;</w:t>
      </w:r>
    </w:p>
    <w:p w:rsidR="00207A20" w:rsidRDefault="00207A20" w:rsidP="00207A20">
      <w:pPr>
        <w:pStyle w:val="PargrafodaLista"/>
        <w:spacing w:after="120"/>
        <w:ind w:left="0"/>
        <w:jc w:val="both"/>
        <w:rPr>
          <w:rFonts w:ascii="Century Gothic" w:eastAsia="Batang" w:hAnsi="Century Gothic"/>
          <w:i/>
          <w:sz w:val="22"/>
          <w:szCs w:val="22"/>
        </w:rPr>
      </w:pPr>
      <w:r w:rsidRPr="008130FB">
        <w:rPr>
          <w:rFonts w:ascii="Century Gothic" w:eastAsia="Batang" w:hAnsi="Century Gothic"/>
          <w:i/>
          <w:sz w:val="22"/>
          <w:szCs w:val="22"/>
          <w:u w:val="single"/>
        </w:rPr>
        <w:t>OBSERVAÇÃO:</w:t>
      </w:r>
      <w:r w:rsidRPr="008130FB">
        <w:rPr>
          <w:rFonts w:ascii="Century Gothic" w:eastAsia="Batang" w:hAnsi="Century Gothic"/>
          <w:i/>
          <w:sz w:val="22"/>
          <w:szCs w:val="22"/>
        </w:rPr>
        <w:t xml:space="preserve"> Para objetos com Minuta Padrão específica e disponível no site PGE, a CPL </w:t>
      </w:r>
      <w:r>
        <w:rPr>
          <w:rFonts w:ascii="Century Gothic" w:eastAsia="Batang" w:hAnsi="Century Gothic"/>
          <w:i/>
          <w:sz w:val="22"/>
          <w:szCs w:val="22"/>
        </w:rPr>
        <w:t>deve</w:t>
      </w:r>
      <w:r w:rsidRPr="008130FB">
        <w:rPr>
          <w:rFonts w:ascii="Century Gothic" w:eastAsia="Batang" w:hAnsi="Century Gothic"/>
          <w:i/>
          <w:sz w:val="22"/>
          <w:szCs w:val="22"/>
        </w:rPr>
        <w:t xml:space="preserve"> inserir no edital estes itens e os que constam da referida Minuta Padrão.</w:t>
      </w:r>
    </w:p>
    <w:p w:rsidR="00B37A78" w:rsidRPr="008130FB" w:rsidRDefault="00B37A78" w:rsidP="00207A20">
      <w:pPr>
        <w:pStyle w:val="PargrafodaLista"/>
        <w:spacing w:after="120"/>
        <w:ind w:left="0"/>
        <w:jc w:val="both"/>
        <w:rPr>
          <w:rFonts w:ascii="Century Gothic" w:eastAsia="Batang" w:hAnsi="Century Gothic"/>
          <w:i/>
          <w:sz w:val="22"/>
          <w:szCs w:val="22"/>
        </w:rPr>
      </w:pPr>
    </w:p>
    <w:p w:rsidR="00414EF2" w:rsidRPr="00C76562" w:rsidRDefault="00414EF2" w:rsidP="004100F1">
      <w:pPr>
        <w:pStyle w:val="PargrafodaLista"/>
        <w:numPr>
          <w:ilvl w:val="0"/>
          <w:numId w:val="21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t>DA APRESENTAÇÃO DA PROPOSTA</w:t>
      </w:r>
    </w:p>
    <w:p w:rsidR="00414EF2" w:rsidRPr="00C7656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A proposta deverá ser apresentada, assinada, com valores em real, redigida em português, devendo constar a razão social, CNPJ, endereço, telefone, </w:t>
      </w:r>
      <w:proofErr w:type="spellStart"/>
      <w:r w:rsidRPr="00C76562">
        <w:rPr>
          <w:rFonts w:ascii="Century Gothic" w:hAnsi="Century Gothic"/>
          <w:sz w:val="22"/>
          <w:szCs w:val="22"/>
        </w:rPr>
        <w:t>email</w:t>
      </w:r>
      <w:proofErr w:type="spellEnd"/>
      <w:r w:rsidRPr="00C76562">
        <w:rPr>
          <w:rFonts w:ascii="Century Gothic" w:hAnsi="Century Gothic"/>
          <w:sz w:val="22"/>
          <w:szCs w:val="22"/>
        </w:rPr>
        <w:t xml:space="preserve">  e nela deverão constar os requisitos a seguir especificados: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DO PREÇO: A proposição de preço para o objeto pretendido segue especificada:</w:t>
      </w:r>
    </w:p>
    <w:p w:rsidR="00561449" w:rsidRPr="00C76562" w:rsidRDefault="00414EF2" w:rsidP="00B1025F">
      <w:pPr>
        <w:pStyle w:val="PargrafodaLista"/>
        <w:numPr>
          <w:ilvl w:val="0"/>
          <w:numId w:val="12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MATERIAL PERMANENTE (SOFTWARE)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524"/>
        <w:gridCol w:w="1523"/>
        <w:gridCol w:w="1239"/>
        <w:gridCol w:w="990"/>
        <w:gridCol w:w="1660"/>
      </w:tblGrid>
      <w:tr w:rsidR="00554950" w:rsidRPr="00C76562" w:rsidTr="00554950">
        <w:trPr>
          <w:trHeight w:val="567"/>
        </w:trPr>
        <w:tc>
          <w:tcPr>
            <w:tcW w:w="315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lastRenderedPageBreak/>
              <w:t>Item</w:t>
            </w:r>
          </w:p>
        </w:tc>
        <w:tc>
          <w:tcPr>
            <w:tcW w:w="1929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t>Especificação do Objeto</w:t>
            </w:r>
          </w:p>
        </w:tc>
        <w:tc>
          <w:tcPr>
            <w:tcW w:w="669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t>Quantitativo</w:t>
            </w:r>
          </w:p>
        </w:tc>
        <w:tc>
          <w:tcPr>
            <w:tcW w:w="742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t>Preço Unitário</w:t>
            </w:r>
          </w:p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t>R$</w:t>
            </w:r>
          </w:p>
        </w:tc>
        <w:tc>
          <w:tcPr>
            <w:tcW w:w="613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t>Preço Total</w:t>
            </w:r>
          </w:p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t>R$</w:t>
            </w:r>
          </w:p>
        </w:tc>
        <w:tc>
          <w:tcPr>
            <w:tcW w:w="732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t>Classificação Contábil</w:t>
            </w:r>
          </w:p>
        </w:tc>
      </w:tr>
      <w:tr w:rsidR="00554950" w:rsidRPr="00C76562" w:rsidTr="00554950">
        <w:trPr>
          <w:trHeight w:val="283"/>
        </w:trPr>
        <w:tc>
          <w:tcPr>
            <w:tcW w:w="315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  <w:r w:rsidRPr="00C76562">
              <w:rPr>
                <w:rFonts w:ascii="Century Gothic" w:eastAsia="Batang" w:hAnsi="Century Gothic" w:cs="Tahoma"/>
                <w:szCs w:val="22"/>
              </w:rPr>
              <w:t>1</w:t>
            </w:r>
          </w:p>
        </w:tc>
        <w:tc>
          <w:tcPr>
            <w:tcW w:w="1929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left"/>
              <w:rPr>
                <w:rFonts w:ascii="Century Gothic" w:eastAsia="Batang" w:hAnsi="Century Gothic" w:cs="Tahoma"/>
                <w:szCs w:val="22"/>
              </w:rPr>
            </w:pPr>
            <w:r w:rsidRPr="00C76562">
              <w:rPr>
                <w:rFonts w:ascii="Century Gothic" w:eastAsia="Batang" w:hAnsi="Century Gothic" w:cs="Tahoma"/>
                <w:szCs w:val="22"/>
              </w:rPr>
              <w:t>Aquisição do Uso Perpetuo da Licença</w:t>
            </w:r>
          </w:p>
        </w:tc>
        <w:tc>
          <w:tcPr>
            <w:tcW w:w="669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742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732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</w:tr>
      <w:tr w:rsidR="00554950" w:rsidRPr="00C76562" w:rsidTr="00554950">
        <w:trPr>
          <w:trHeight w:val="283"/>
        </w:trPr>
        <w:tc>
          <w:tcPr>
            <w:tcW w:w="315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</w:p>
        </w:tc>
        <w:tc>
          <w:tcPr>
            <w:tcW w:w="1929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left"/>
              <w:rPr>
                <w:rFonts w:ascii="Century Gothic" w:eastAsia="Batang" w:hAnsi="Century Gothic" w:cs="Tahoma"/>
                <w:bCs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t>Preço Global</w:t>
            </w:r>
          </w:p>
        </w:tc>
        <w:tc>
          <w:tcPr>
            <w:tcW w:w="669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742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732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</w:tr>
    </w:tbl>
    <w:p w:rsidR="00414EF2" w:rsidRPr="00C76562" w:rsidRDefault="00414EF2" w:rsidP="00B1025F">
      <w:pPr>
        <w:pStyle w:val="PargrafodaLista"/>
        <w:numPr>
          <w:ilvl w:val="0"/>
          <w:numId w:val="12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SERVIÇOS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068"/>
        <w:gridCol w:w="1523"/>
        <w:gridCol w:w="1474"/>
        <w:gridCol w:w="1211"/>
        <w:gridCol w:w="1660"/>
      </w:tblGrid>
      <w:tr w:rsidR="00554950" w:rsidRPr="00C76562" w:rsidTr="00554950">
        <w:trPr>
          <w:trHeight w:val="567"/>
        </w:trPr>
        <w:tc>
          <w:tcPr>
            <w:tcW w:w="338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t>Item</w:t>
            </w:r>
          </w:p>
        </w:tc>
        <w:tc>
          <w:tcPr>
            <w:tcW w:w="1642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t>Especificação do Objeto</w:t>
            </w:r>
          </w:p>
        </w:tc>
        <w:tc>
          <w:tcPr>
            <w:tcW w:w="729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t>Quantitativo</w:t>
            </w:r>
          </w:p>
        </w:tc>
        <w:tc>
          <w:tcPr>
            <w:tcW w:w="814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t>Preço Unitário</w:t>
            </w:r>
          </w:p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t>R$</w:t>
            </w:r>
          </w:p>
        </w:tc>
        <w:tc>
          <w:tcPr>
            <w:tcW w:w="677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t>Preço Total</w:t>
            </w:r>
          </w:p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t>R$</w:t>
            </w:r>
          </w:p>
        </w:tc>
        <w:tc>
          <w:tcPr>
            <w:tcW w:w="800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t>Classificação Contábil</w:t>
            </w:r>
          </w:p>
        </w:tc>
      </w:tr>
      <w:tr w:rsidR="00554950" w:rsidRPr="00C76562" w:rsidTr="00554950">
        <w:trPr>
          <w:trHeight w:val="283"/>
        </w:trPr>
        <w:tc>
          <w:tcPr>
            <w:tcW w:w="338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  <w:r w:rsidRPr="00C76562">
              <w:rPr>
                <w:rFonts w:ascii="Century Gothic" w:eastAsia="Batang" w:hAnsi="Century Gothic" w:cs="Tahoma"/>
                <w:szCs w:val="22"/>
              </w:rPr>
              <w:t>1</w:t>
            </w:r>
          </w:p>
        </w:tc>
        <w:tc>
          <w:tcPr>
            <w:tcW w:w="1642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left"/>
              <w:rPr>
                <w:rFonts w:ascii="Century Gothic" w:eastAsia="Batang" w:hAnsi="Century Gothic" w:cs="Tahoma"/>
                <w:szCs w:val="22"/>
              </w:rPr>
            </w:pPr>
            <w:r w:rsidRPr="00C76562">
              <w:rPr>
                <w:rFonts w:ascii="Century Gothic" w:eastAsia="Batang" w:hAnsi="Century Gothic" w:cs="Tahoma"/>
                <w:szCs w:val="22"/>
              </w:rPr>
              <w:t>Implantação da Solução</w:t>
            </w:r>
          </w:p>
        </w:tc>
        <w:tc>
          <w:tcPr>
            <w:tcW w:w="729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677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</w:tr>
      <w:tr w:rsidR="00554950" w:rsidRPr="00C76562" w:rsidTr="00554950">
        <w:trPr>
          <w:trHeight w:val="283"/>
        </w:trPr>
        <w:tc>
          <w:tcPr>
            <w:tcW w:w="338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  <w:r w:rsidRPr="00C76562">
              <w:rPr>
                <w:rFonts w:ascii="Century Gothic" w:eastAsia="Batang" w:hAnsi="Century Gothic" w:cs="Tahoma"/>
                <w:szCs w:val="22"/>
              </w:rPr>
              <w:t>2</w:t>
            </w:r>
          </w:p>
        </w:tc>
        <w:tc>
          <w:tcPr>
            <w:tcW w:w="1642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left"/>
              <w:rPr>
                <w:rFonts w:ascii="Century Gothic" w:eastAsia="Batang" w:hAnsi="Century Gothic" w:cs="Tahoma"/>
                <w:szCs w:val="22"/>
              </w:rPr>
            </w:pPr>
            <w:r w:rsidRPr="00C76562">
              <w:rPr>
                <w:rFonts w:ascii="Century Gothic" w:eastAsia="Batang" w:hAnsi="Century Gothic" w:cs="Tahoma"/>
                <w:szCs w:val="22"/>
              </w:rPr>
              <w:t>Manutenção On-Site</w:t>
            </w:r>
          </w:p>
        </w:tc>
        <w:tc>
          <w:tcPr>
            <w:tcW w:w="729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677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</w:tr>
      <w:tr w:rsidR="00554950" w:rsidRPr="00C76562" w:rsidTr="00554950">
        <w:trPr>
          <w:trHeight w:val="283"/>
        </w:trPr>
        <w:tc>
          <w:tcPr>
            <w:tcW w:w="338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  <w:r w:rsidRPr="00C76562">
              <w:rPr>
                <w:rFonts w:ascii="Century Gothic" w:eastAsia="Batang" w:hAnsi="Century Gothic" w:cs="Tahoma"/>
                <w:szCs w:val="22"/>
              </w:rPr>
              <w:t>3</w:t>
            </w:r>
          </w:p>
        </w:tc>
        <w:tc>
          <w:tcPr>
            <w:tcW w:w="1642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left"/>
              <w:rPr>
                <w:rFonts w:ascii="Century Gothic" w:eastAsia="Batang" w:hAnsi="Century Gothic" w:cs="Tahoma"/>
                <w:szCs w:val="22"/>
              </w:rPr>
            </w:pPr>
            <w:r w:rsidRPr="00C76562">
              <w:rPr>
                <w:rFonts w:ascii="Century Gothic" w:eastAsia="Batang" w:hAnsi="Century Gothic" w:cs="Tahoma"/>
                <w:szCs w:val="22"/>
              </w:rPr>
              <w:t xml:space="preserve">Treinamento </w:t>
            </w:r>
          </w:p>
        </w:tc>
        <w:tc>
          <w:tcPr>
            <w:tcW w:w="729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677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</w:tr>
      <w:tr w:rsidR="00554950" w:rsidRPr="00C76562" w:rsidTr="00554950">
        <w:trPr>
          <w:trHeight w:val="283"/>
        </w:trPr>
        <w:tc>
          <w:tcPr>
            <w:tcW w:w="338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  <w:r w:rsidRPr="00C76562">
              <w:rPr>
                <w:rFonts w:ascii="Century Gothic" w:eastAsia="Batang" w:hAnsi="Century Gothic" w:cs="Tahoma"/>
                <w:szCs w:val="22"/>
              </w:rPr>
              <w:t>4</w:t>
            </w:r>
          </w:p>
        </w:tc>
        <w:tc>
          <w:tcPr>
            <w:tcW w:w="1642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left"/>
              <w:rPr>
                <w:rFonts w:ascii="Century Gothic" w:eastAsia="Batang" w:hAnsi="Century Gothic" w:cs="Tahoma"/>
                <w:szCs w:val="22"/>
              </w:rPr>
            </w:pPr>
            <w:r w:rsidRPr="00C76562">
              <w:rPr>
                <w:rFonts w:ascii="Century Gothic" w:eastAsia="Batang" w:hAnsi="Century Gothic" w:cs="Tahoma"/>
                <w:szCs w:val="22"/>
              </w:rPr>
              <w:t>Suporte Técnico e Garantia</w:t>
            </w:r>
          </w:p>
        </w:tc>
        <w:tc>
          <w:tcPr>
            <w:tcW w:w="729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677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</w:tr>
      <w:tr w:rsidR="00554950" w:rsidRPr="00C76562" w:rsidTr="00554950">
        <w:trPr>
          <w:trHeight w:val="283"/>
        </w:trPr>
        <w:tc>
          <w:tcPr>
            <w:tcW w:w="338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</w:p>
        </w:tc>
        <w:tc>
          <w:tcPr>
            <w:tcW w:w="1642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left"/>
              <w:rPr>
                <w:rFonts w:ascii="Century Gothic" w:eastAsia="Batang" w:hAnsi="Century Gothic" w:cs="Tahoma"/>
                <w:bCs/>
                <w:szCs w:val="22"/>
              </w:rPr>
            </w:pPr>
            <w:r w:rsidRPr="00C76562">
              <w:rPr>
                <w:rFonts w:ascii="Century Gothic" w:eastAsia="Batang" w:hAnsi="Century Gothic" w:cs="Tahoma"/>
                <w:b/>
                <w:szCs w:val="22"/>
              </w:rPr>
              <w:t>Preço Global</w:t>
            </w:r>
          </w:p>
        </w:tc>
        <w:tc>
          <w:tcPr>
            <w:tcW w:w="729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677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554950" w:rsidRPr="00C76562" w:rsidRDefault="00554950" w:rsidP="00554950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</w:tr>
    </w:tbl>
    <w:p w:rsidR="00554950" w:rsidRPr="00C76562" w:rsidRDefault="00554950" w:rsidP="00554950">
      <w:pPr>
        <w:spacing w:line="276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:rsidR="00414EF2" w:rsidRPr="00C76562" w:rsidRDefault="00414EF2" w:rsidP="00554950">
      <w:pPr>
        <w:spacing w:after="120" w:line="276" w:lineRule="auto"/>
        <w:ind w:left="708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  <w:u w:val="single"/>
        </w:rPr>
        <w:t>OBSERVAÇÃO1:</w:t>
      </w:r>
      <w:r w:rsidRPr="00C76562">
        <w:rPr>
          <w:rFonts w:ascii="Century Gothic" w:hAnsi="Century Gothic"/>
          <w:sz w:val="22"/>
          <w:szCs w:val="22"/>
        </w:rPr>
        <w:t xml:space="preserve"> O elaborador do termo de referência deve especificar material permanente e serviços em tabelas separadas para compatibilizar com os </w:t>
      </w:r>
      <w:r w:rsidR="00554950" w:rsidRPr="00C76562">
        <w:rPr>
          <w:rFonts w:ascii="Century Gothic" w:hAnsi="Century Gothic"/>
          <w:sz w:val="22"/>
          <w:szCs w:val="22"/>
        </w:rPr>
        <w:t>respectivos prazos</w:t>
      </w:r>
      <w:r w:rsidRPr="00C76562">
        <w:rPr>
          <w:rFonts w:ascii="Century Gothic" w:hAnsi="Century Gothic"/>
          <w:sz w:val="22"/>
          <w:szCs w:val="22"/>
        </w:rPr>
        <w:t xml:space="preserve"> de vigência dos itens e também para o fornecedor ficar ciente da emissão de nota fiscal de produto ou de serviço;</w:t>
      </w:r>
    </w:p>
    <w:p w:rsidR="00414EF2" w:rsidRPr="00C76562" w:rsidRDefault="00414EF2" w:rsidP="00554950">
      <w:pPr>
        <w:spacing w:after="120" w:line="276" w:lineRule="auto"/>
        <w:ind w:left="708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  <w:u w:val="single"/>
        </w:rPr>
        <w:t xml:space="preserve">OBSERVAÇÃO2: </w:t>
      </w:r>
      <w:r w:rsidRPr="00C76562">
        <w:rPr>
          <w:rFonts w:ascii="Century Gothic" w:hAnsi="Century Gothic"/>
          <w:sz w:val="22"/>
          <w:szCs w:val="22"/>
        </w:rPr>
        <w:t>Ressalta-se que a Contabilidade Pública classifica a aquisição de licença de software como material permanente.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Os preços ora propostos incluem todas as despesas diretas, indiretas, benefícios, tributos, contribuições, seguros e licenças de modo a se constituírem em única e total contraprestação pelo fornecimento do objeto.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O prazo de validade da presente proposta é de 60 (sessenta) dias corridos, a contar da data da sua entrega no PRODEST</w:t>
      </w:r>
      <w:r w:rsidR="00B9332C" w:rsidRPr="00C76562">
        <w:rPr>
          <w:rFonts w:ascii="Century Gothic" w:hAnsi="Century Gothic"/>
          <w:sz w:val="22"/>
          <w:szCs w:val="22"/>
        </w:rPr>
        <w:t>, conforme Lei de Licitações e Contratos</w:t>
      </w:r>
      <w:r w:rsidRPr="00C76562">
        <w:rPr>
          <w:rFonts w:ascii="Century Gothic" w:hAnsi="Century Gothic"/>
          <w:sz w:val="22"/>
          <w:szCs w:val="22"/>
        </w:rPr>
        <w:t>.</w:t>
      </w:r>
    </w:p>
    <w:p w:rsidR="00414EF2" w:rsidRPr="00C76562" w:rsidRDefault="00414EF2" w:rsidP="004100F1">
      <w:pPr>
        <w:pStyle w:val="PargrafodaLista"/>
        <w:numPr>
          <w:ilvl w:val="0"/>
          <w:numId w:val="21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t>DAS CONDIÇÕES DE FATURAMENTO E PAGAMENTO</w:t>
      </w:r>
    </w:p>
    <w:p w:rsidR="00414EF2" w:rsidRPr="00C7656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t>DO FATURAMENTO</w:t>
      </w:r>
    </w:p>
    <w:p w:rsidR="00414EF2" w:rsidRPr="00C76562" w:rsidRDefault="00414EF2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PARA OS SOFTWARE – MATERIAL PERMANENTE</w:t>
      </w:r>
    </w:p>
    <w:p w:rsidR="00414EF2" w:rsidRPr="00C7656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A fatura deverá ser apresentada no protocolo do PRODEST mediante a entrega do objeto contratado, devendo com ela serem encaminhados os comprovantes de regularidade fiscal da contratada.</w:t>
      </w:r>
    </w:p>
    <w:p w:rsidR="00414EF2" w:rsidRPr="00C76562" w:rsidRDefault="00414EF2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PARA OS SERVIÇOS DE SUPORTE TÉCNICO</w:t>
      </w:r>
    </w:p>
    <w:p w:rsidR="00414EF2" w:rsidRDefault="00414EF2" w:rsidP="004100F1">
      <w:pPr>
        <w:pStyle w:val="PargrafodaLista"/>
        <w:numPr>
          <w:ilvl w:val="2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A fatura será apresentada no protocolo do PRODEST no primeiro dia útil do mês posterior ao da prestação dos serviços, juntamente com os comprovantes de quitação fiscal e trabalhista relativo ao objeto contratado.</w:t>
      </w:r>
    </w:p>
    <w:p w:rsidR="00414EF2" w:rsidRPr="00B37A78" w:rsidRDefault="00414EF2" w:rsidP="00B37A78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B37A78">
        <w:rPr>
          <w:rFonts w:ascii="Century Gothic" w:hAnsi="Century Gothic"/>
          <w:b/>
          <w:sz w:val="22"/>
          <w:szCs w:val="22"/>
        </w:rPr>
        <w:t>DO PAGAMENTO</w:t>
      </w:r>
    </w:p>
    <w:p w:rsidR="007D1B23" w:rsidRDefault="007D1B23" w:rsidP="007D1B23">
      <w:pPr>
        <w:pStyle w:val="PargrafodaLista"/>
        <w:numPr>
          <w:ilvl w:val="2"/>
          <w:numId w:val="21"/>
        </w:numPr>
        <w:jc w:val="both"/>
        <w:rPr>
          <w:rFonts w:ascii="Century Gothic" w:hAnsi="Century Gothic"/>
          <w:sz w:val="22"/>
          <w:szCs w:val="22"/>
        </w:rPr>
      </w:pPr>
      <w:r w:rsidRPr="007D1B23">
        <w:rPr>
          <w:rFonts w:ascii="Century Gothic" w:hAnsi="Century Gothic"/>
          <w:sz w:val="22"/>
          <w:szCs w:val="22"/>
        </w:rPr>
        <w:t xml:space="preserve">A fatura será paga até o 10 (décimo) dia útil após a sua apresentação, sendo que o pagamento só poderá ser realizado nos dias 10, 20 ou 30 de cada mês, </w:t>
      </w:r>
      <w:r w:rsidRPr="007D1B23">
        <w:rPr>
          <w:rFonts w:ascii="Century Gothic" w:hAnsi="Century Gothic"/>
          <w:sz w:val="22"/>
          <w:szCs w:val="22"/>
        </w:rPr>
        <w:lastRenderedPageBreak/>
        <w:t>conforme determina o inciso IV do Decreto nº 4662-R e inc. II do art. 1º da Portaria SEFAZ nº 34-R de 18 de junho de 2020</w:t>
      </w:r>
    </w:p>
    <w:p w:rsidR="007D1B23" w:rsidRDefault="007D1B23" w:rsidP="007D1B23">
      <w:pPr>
        <w:pStyle w:val="PargrafodaLista"/>
        <w:ind w:left="1080"/>
        <w:jc w:val="both"/>
        <w:rPr>
          <w:rFonts w:ascii="Century Gothic" w:hAnsi="Century Gothic"/>
          <w:sz w:val="22"/>
          <w:szCs w:val="22"/>
        </w:rPr>
      </w:pPr>
    </w:p>
    <w:p w:rsidR="00635E62" w:rsidRDefault="00635E62" w:rsidP="007D1B23">
      <w:pPr>
        <w:pStyle w:val="PargrafodaLista"/>
        <w:numPr>
          <w:ilvl w:val="2"/>
          <w:numId w:val="21"/>
        </w:numPr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Decorrido o prazo indicado no item anterior, incidirá multa financeira nos seguintes termos: </w:t>
      </w:r>
    </w:p>
    <w:p w:rsidR="00202A3F" w:rsidRPr="00202A3F" w:rsidRDefault="00202A3F" w:rsidP="00202A3F">
      <w:pPr>
        <w:pStyle w:val="PargrafodaLista"/>
        <w:rPr>
          <w:rFonts w:ascii="Century Gothic" w:hAnsi="Century Gothic"/>
          <w:sz w:val="22"/>
          <w:szCs w:val="22"/>
        </w:rPr>
      </w:pPr>
    </w:p>
    <w:p w:rsidR="00202A3F" w:rsidRPr="00C76562" w:rsidRDefault="00202A3F" w:rsidP="00202A3F">
      <w:pPr>
        <w:pStyle w:val="PargrafodaLista"/>
        <w:ind w:left="1080"/>
        <w:jc w:val="both"/>
        <w:rPr>
          <w:rFonts w:ascii="Century Gothic" w:hAnsi="Century Gothic"/>
          <w:sz w:val="22"/>
          <w:szCs w:val="22"/>
        </w:rPr>
      </w:pPr>
    </w:p>
    <w:p w:rsidR="00635E62" w:rsidRPr="00C76562" w:rsidRDefault="00635E62" w:rsidP="00635E62">
      <w:pPr>
        <w:pStyle w:val="PargrafodaLista"/>
        <w:ind w:left="0"/>
        <w:rPr>
          <w:rFonts w:ascii="Century Gothic" w:hAnsi="Century Gothic"/>
          <w:sz w:val="22"/>
          <w:szCs w:val="22"/>
          <w:u w:val="single"/>
        </w:rPr>
      </w:pPr>
      <w:r w:rsidRPr="00C76562">
        <w:rPr>
          <w:rFonts w:ascii="Century Gothic" w:hAnsi="Century Gothic"/>
          <w:sz w:val="22"/>
          <w:szCs w:val="22"/>
        </w:rPr>
        <w:t xml:space="preserve">V.M = V.F x </w:t>
      </w:r>
      <w:r w:rsidRPr="00C76562">
        <w:rPr>
          <w:rFonts w:ascii="Century Gothic" w:hAnsi="Century Gothic"/>
          <w:sz w:val="22"/>
          <w:szCs w:val="22"/>
          <w:u w:val="single"/>
        </w:rPr>
        <w:t xml:space="preserve">12 </w:t>
      </w:r>
      <w:r w:rsidRPr="00C76562">
        <w:rPr>
          <w:rFonts w:ascii="Century Gothic" w:hAnsi="Century Gothic"/>
          <w:sz w:val="22"/>
          <w:szCs w:val="22"/>
        </w:rPr>
        <w:t xml:space="preserve">x </w:t>
      </w:r>
      <w:r w:rsidRPr="00C76562">
        <w:rPr>
          <w:rFonts w:ascii="Century Gothic" w:hAnsi="Century Gothic"/>
          <w:sz w:val="22"/>
          <w:szCs w:val="22"/>
          <w:u w:val="single"/>
        </w:rPr>
        <w:t>ND</w:t>
      </w:r>
    </w:p>
    <w:p w:rsidR="00635E62" w:rsidRPr="00C76562" w:rsidRDefault="00635E62" w:rsidP="00635E62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                   100   360</w:t>
      </w:r>
      <w:r w:rsidRPr="00C76562">
        <w:rPr>
          <w:rFonts w:ascii="Century Gothic" w:hAnsi="Century Gothic"/>
          <w:sz w:val="22"/>
          <w:szCs w:val="22"/>
        </w:rPr>
        <w:tab/>
        <w:t xml:space="preserve">     </w:t>
      </w:r>
    </w:p>
    <w:p w:rsidR="00635E62" w:rsidRPr="00C76562" w:rsidRDefault="00635E62" w:rsidP="00635E62">
      <w:pPr>
        <w:pStyle w:val="PargrafodaLista"/>
        <w:tabs>
          <w:tab w:val="left" w:pos="2127"/>
        </w:tabs>
        <w:ind w:left="0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Onde:</w:t>
      </w:r>
    </w:p>
    <w:p w:rsidR="00635E62" w:rsidRPr="00C76562" w:rsidRDefault="00635E62" w:rsidP="00635E62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V.M. = Valor da Multa Financeira.</w:t>
      </w:r>
    </w:p>
    <w:p w:rsidR="00635E62" w:rsidRPr="00C76562" w:rsidRDefault="00635E62" w:rsidP="00635E62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V.F. = Valor da Nota Fiscal referente ao mês em atraso.</w:t>
      </w:r>
    </w:p>
    <w:p w:rsidR="00635E62" w:rsidRPr="00C76562" w:rsidRDefault="00635E62" w:rsidP="00635E62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ND = Número de dias em atraso.</w:t>
      </w:r>
    </w:p>
    <w:p w:rsidR="00635E62" w:rsidRDefault="00635E62" w:rsidP="00635E62">
      <w:pPr>
        <w:pStyle w:val="PargrafodaLista"/>
        <w:ind w:left="0"/>
        <w:rPr>
          <w:rFonts w:ascii="Century Gothic" w:hAnsi="Century Gothic"/>
          <w:sz w:val="22"/>
          <w:szCs w:val="22"/>
        </w:rPr>
      </w:pPr>
    </w:p>
    <w:p w:rsidR="00687313" w:rsidRPr="003F43A4" w:rsidRDefault="00687313" w:rsidP="00687313">
      <w:pPr>
        <w:spacing w:after="120"/>
        <w:jc w:val="both"/>
        <w:rPr>
          <w:rFonts w:ascii="Century Gothic" w:hAnsi="Century Gothic"/>
          <w:i/>
          <w:sz w:val="22"/>
          <w:szCs w:val="22"/>
        </w:rPr>
      </w:pPr>
      <w:r w:rsidRPr="003F43A4">
        <w:rPr>
          <w:rFonts w:ascii="Century Gothic" w:hAnsi="Century Gothic"/>
          <w:i/>
          <w:sz w:val="22"/>
          <w:szCs w:val="22"/>
        </w:rPr>
        <w:t>OBSERVAÇÃO: Na elaboração do edital, o texto deste item deve ser compatibiliza</w:t>
      </w:r>
      <w:r>
        <w:rPr>
          <w:rFonts w:ascii="Century Gothic" w:hAnsi="Century Gothic"/>
          <w:i/>
          <w:sz w:val="22"/>
          <w:szCs w:val="22"/>
        </w:rPr>
        <w:t>do pela</w:t>
      </w:r>
      <w:r w:rsidRPr="003F43A4">
        <w:rPr>
          <w:rFonts w:ascii="Century Gothic" w:hAnsi="Century Gothic"/>
          <w:i/>
          <w:sz w:val="22"/>
          <w:szCs w:val="22"/>
        </w:rPr>
        <w:t xml:space="preserve"> CPL com o texto atualizado da minuta padrão PGE</w:t>
      </w:r>
      <w:r>
        <w:rPr>
          <w:rFonts w:ascii="Century Gothic" w:hAnsi="Century Gothic"/>
          <w:i/>
          <w:sz w:val="22"/>
          <w:szCs w:val="22"/>
        </w:rPr>
        <w:t>, obedecido o prazo de 10 dias uteis para pagamento</w:t>
      </w:r>
      <w:r w:rsidRPr="003F43A4">
        <w:rPr>
          <w:rFonts w:ascii="Century Gothic" w:hAnsi="Century Gothic"/>
          <w:i/>
          <w:sz w:val="22"/>
          <w:szCs w:val="22"/>
        </w:rPr>
        <w:t>.</w:t>
      </w:r>
    </w:p>
    <w:p w:rsidR="00687313" w:rsidRPr="00C76562" w:rsidRDefault="00687313" w:rsidP="00635E62">
      <w:pPr>
        <w:pStyle w:val="PargrafodaLista"/>
        <w:ind w:left="0"/>
        <w:rPr>
          <w:rFonts w:ascii="Century Gothic" w:hAnsi="Century Gothic"/>
          <w:sz w:val="22"/>
          <w:szCs w:val="22"/>
        </w:rPr>
      </w:pPr>
    </w:p>
    <w:p w:rsidR="00414EF2" w:rsidRPr="00C76562" w:rsidRDefault="00414EF2" w:rsidP="004100F1">
      <w:pPr>
        <w:pStyle w:val="PargrafodaLista"/>
        <w:numPr>
          <w:ilvl w:val="0"/>
          <w:numId w:val="21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t xml:space="preserve">DOS PRAZOS DE ENTREGA E DA GARANTIA  </w:t>
      </w:r>
    </w:p>
    <w:p w:rsidR="00414EF2" w:rsidRPr="00C76562" w:rsidRDefault="00414EF2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PRAZOS DE ENTREGA:</w:t>
      </w:r>
    </w:p>
    <w:p w:rsidR="00414EF2" w:rsidRPr="00C76562" w:rsidRDefault="00414EF2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PARA </w:t>
      </w:r>
      <w:r w:rsidR="001608AA" w:rsidRPr="00C76562">
        <w:rPr>
          <w:rFonts w:ascii="Century Gothic" w:hAnsi="Century Gothic"/>
          <w:sz w:val="22"/>
          <w:szCs w:val="22"/>
        </w:rPr>
        <w:t xml:space="preserve">CONTRATAÇÃO </w:t>
      </w:r>
      <w:proofErr w:type="gramStart"/>
      <w:r w:rsidR="001608AA" w:rsidRPr="00C76562">
        <w:rPr>
          <w:rFonts w:ascii="Century Gothic" w:hAnsi="Century Gothic"/>
          <w:sz w:val="22"/>
          <w:szCs w:val="22"/>
        </w:rPr>
        <w:t xml:space="preserve">DE </w:t>
      </w:r>
      <w:r w:rsidRPr="00C76562">
        <w:rPr>
          <w:rFonts w:ascii="Century Gothic" w:hAnsi="Century Gothic"/>
          <w:sz w:val="22"/>
          <w:szCs w:val="22"/>
        </w:rPr>
        <w:t xml:space="preserve"> SISTEMAS</w:t>
      </w:r>
      <w:proofErr w:type="gramEnd"/>
      <w:r w:rsidRPr="00C76562">
        <w:rPr>
          <w:rFonts w:ascii="Century Gothic" w:hAnsi="Century Gothic"/>
          <w:sz w:val="22"/>
          <w:szCs w:val="22"/>
        </w:rPr>
        <w:t xml:space="preserve"> – MEDIÇÃO POR UST</w:t>
      </w:r>
    </w:p>
    <w:p w:rsidR="00414EF2" w:rsidRPr="00C7656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O objeto será entregue na medida da necessidade do PRODEST, mediante emissão de Ordem de Serviço contendo tarefas a serem realizadas, quantidade de UST e prazo para entrega da tarefa;</w:t>
      </w:r>
    </w:p>
    <w:p w:rsidR="00414EF2" w:rsidRPr="00C7656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Quando da contratação de licença de uso perpétuo, contemplar em cronograma macro os serviços de implantação;</w:t>
      </w:r>
    </w:p>
    <w:p w:rsidR="00414EF2" w:rsidRPr="00C76562" w:rsidRDefault="00414EF2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PARA SERVIÇOS DE SUPORTE TÉCNICO</w:t>
      </w:r>
    </w:p>
    <w:p w:rsidR="00414EF2" w:rsidRPr="00C7656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Os serviços de suporte técnico serão prestados em conformidade com tabela de </w:t>
      </w:r>
      <w:proofErr w:type="gramStart"/>
      <w:r w:rsidRPr="00C76562">
        <w:rPr>
          <w:rFonts w:ascii="Century Gothic" w:hAnsi="Century Gothic"/>
          <w:sz w:val="22"/>
          <w:szCs w:val="22"/>
        </w:rPr>
        <w:t>SLA  constante</w:t>
      </w:r>
      <w:proofErr w:type="gramEnd"/>
      <w:r w:rsidRPr="00C76562">
        <w:rPr>
          <w:rFonts w:ascii="Century Gothic" w:hAnsi="Century Gothic"/>
          <w:sz w:val="22"/>
          <w:szCs w:val="22"/>
        </w:rPr>
        <w:t xml:space="preserve"> do Termo de Referência e do contrato;</w:t>
      </w:r>
    </w:p>
    <w:p w:rsidR="00414EF2" w:rsidRPr="00C76562" w:rsidRDefault="00414EF2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PRAZO DE GARANTIA: </w:t>
      </w:r>
    </w:p>
    <w:p w:rsidR="00414EF2" w:rsidRPr="00C76562" w:rsidRDefault="00414EF2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PARA DESENVOLVIMENTO DE SISTEMAS – MEDIÇÃO POR UST</w:t>
      </w:r>
    </w:p>
    <w:p w:rsidR="00414EF2" w:rsidRPr="00C7656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A CONTRATADA deverá,</w:t>
      </w:r>
      <w:r w:rsidR="002C51A5" w:rsidRPr="00C76562">
        <w:rPr>
          <w:rFonts w:ascii="Century Gothic" w:hAnsi="Century Gothic"/>
          <w:sz w:val="22"/>
          <w:szCs w:val="22"/>
        </w:rPr>
        <w:t xml:space="preserve"> durante a vigência do contrato</w:t>
      </w:r>
      <w:r w:rsidRPr="00C76562">
        <w:rPr>
          <w:rFonts w:ascii="Century Gothic" w:hAnsi="Century Gothic"/>
          <w:sz w:val="22"/>
          <w:szCs w:val="22"/>
        </w:rPr>
        <w:t xml:space="preserve">, garantir o Suporte Técnico e Operacional a todos os componentes de software e artefatos desenvolvidos, impactados ou alterados a partir da realização dos serviços, sem ônus adicionais para o PRODEST. </w:t>
      </w:r>
    </w:p>
    <w:p w:rsidR="00414EF2" w:rsidRPr="00C76562" w:rsidRDefault="00414EF2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PARA BEM PERMANENTE – SOFTWARE</w:t>
      </w:r>
    </w:p>
    <w:p w:rsidR="00414EF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O software terá garantia pelo prazo mínimo </w:t>
      </w:r>
      <w:proofErr w:type="gramStart"/>
      <w:r w:rsidRPr="00C76562">
        <w:rPr>
          <w:rFonts w:ascii="Century Gothic" w:hAnsi="Century Gothic"/>
          <w:sz w:val="22"/>
          <w:szCs w:val="22"/>
        </w:rPr>
        <w:t>de  (</w:t>
      </w:r>
      <w:proofErr w:type="gramEnd"/>
      <w:r w:rsidRPr="00C76562">
        <w:rPr>
          <w:rFonts w:ascii="Century Gothic" w:hAnsi="Century Gothic"/>
          <w:sz w:val="22"/>
          <w:szCs w:val="22"/>
        </w:rPr>
        <w:t xml:space="preserve">.............) </w:t>
      </w:r>
      <w:proofErr w:type="gramStart"/>
      <w:r w:rsidRPr="00C76562">
        <w:rPr>
          <w:rFonts w:ascii="Century Gothic" w:hAnsi="Century Gothic"/>
          <w:sz w:val="22"/>
          <w:szCs w:val="22"/>
        </w:rPr>
        <w:t>anos</w:t>
      </w:r>
      <w:proofErr w:type="gramEnd"/>
      <w:r w:rsidRPr="00C76562">
        <w:rPr>
          <w:rFonts w:ascii="Century Gothic" w:hAnsi="Century Gothic"/>
          <w:sz w:val="22"/>
          <w:szCs w:val="22"/>
        </w:rPr>
        <w:t>, contad</w:t>
      </w:r>
      <w:r w:rsidR="001222A6">
        <w:rPr>
          <w:rFonts w:ascii="Century Gothic" w:hAnsi="Century Gothic"/>
          <w:sz w:val="22"/>
          <w:szCs w:val="22"/>
        </w:rPr>
        <w:t>os de sua entrega e implantação.</w:t>
      </w:r>
    </w:p>
    <w:p w:rsidR="001222A6" w:rsidRPr="00C76562" w:rsidRDefault="001222A6" w:rsidP="001222A6">
      <w:pPr>
        <w:pStyle w:val="PargrafodaLista"/>
        <w:spacing w:after="120" w:line="276" w:lineRule="auto"/>
        <w:ind w:left="720"/>
        <w:jc w:val="both"/>
        <w:rPr>
          <w:rFonts w:ascii="Century Gothic" w:hAnsi="Century Gothic"/>
          <w:sz w:val="22"/>
          <w:szCs w:val="22"/>
        </w:rPr>
      </w:pPr>
    </w:p>
    <w:p w:rsidR="00414EF2" w:rsidRPr="00C76562" w:rsidRDefault="00414EF2" w:rsidP="004100F1">
      <w:pPr>
        <w:pStyle w:val="PargrafodaLista"/>
        <w:numPr>
          <w:ilvl w:val="0"/>
          <w:numId w:val="21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t>DA VIGÊNCIA DO CONTRATO</w:t>
      </w:r>
    </w:p>
    <w:p w:rsidR="00414EF2" w:rsidRPr="00C7656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PARA O ITEM DE AQUISIÇÃO DE </w:t>
      </w:r>
      <w:proofErr w:type="gramStart"/>
      <w:r w:rsidRPr="00C76562">
        <w:rPr>
          <w:rFonts w:ascii="Century Gothic" w:hAnsi="Century Gothic"/>
          <w:sz w:val="22"/>
          <w:szCs w:val="22"/>
        </w:rPr>
        <w:t>MATERIAL  PERMANENTE</w:t>
      </w:r>
      <w:proofErr w:type="gramEnd"/>
      <w:r w:rsidRPr="00C76562">
        <w:rPr>
          <w:rFonts w:ascii="Century Gothic" w:hAnsi="Century Gothic"/>
          <w:sz w:val="22"/>
          <w:szCs w:val="22"/>
        </w:rPr>
        <w:t xml:space="preserve"> (SOFTWARES)</w:t>
      </w:r>
    </w:p>
    <w:p w:rsidR="00414EF2" w:rsidRPr="00C76562" w:rsidRDefault="00414EF2" w:rsidP="00227706">
      <w:pPr>
        <w:spacing w:after="120" w:line="276" w:lineRule="auto"/>
        <w:ind w:left="708"/>
        <w:jc w:val="both"/>
        <w:rPr>
          <w:rFonts w:ascii="Century Gothic" w:hAnsi="Century Gothic"/>
          <w:i/>
          <w:sz w:val="22"/>
          <w:szCs w:val="22"/>
        </w:rPr>
      </w:pPr>
      <w:r w:rsidRPr="00C76562">
        <w:rPr>
          <w:rFonts w:ascii="Century Gothic" w:hAnsi="Century Gothic"/>
          <w:i/>
          <w:sz w:val="22"/>
          <w:szCs w:val="22"/>
        </w:rPr>
        <w:lastRenderedPageBreak/>
        <w:t xml:space="preserve">“O contrato terá </w:t>
      </w:r>
      <w:r w:rsidR="00227706" w:rsidRPr="00C76562">
        <w:rPr>
          <w:rFonts w:ascii="Century Gothic" w:hAnsi="Century Gothic"/>
          <w:i/>
          <w:sz w:val="22"/>
          <w:szCs w:val="22"/>
        </w:rPr>
        <w:t>início</w:t>
      </w:r>
      <w:r w:rsidRPr="00C76562">
        <w:rPr>
          <w:rFonts w:ascii="Century Gothic" w:hAnsi="Century Gothic"/>
          <w:i/>
          <w:sz w:val="22"/>
          <w:szCs w:val="22"/>
        </w:rPr>
        <w:t xml:space="preserve"> no dia posterior à data da publicação do respectivo instrumen</w:t>
      </w:r>
      <w:r w:rsidR="002C51A5" w:rsidRPr="00C76562">
        <w:rPr>
          <w:rFonts w:ascii="Century Gothic" w:hAnsi="Century Gothic"/>
          <w:i/>
          <w:sz w:val="22"/>
          <w:szCs w:val="22"/>
        </w:rPr>
        <w:t>to no Diário Oficial do Estado</w:t>
      </w:r>
      <w:r w:rsidRPr="00C76562">
        <w:rPr>
          <w:rFonts w:ascii="Century Gothic" w:hAnsi="Century Gothic"/>
          <w:i/>
          <w:sz w:val="22"/>
          <w:szCs w:val="22"/>
        </w:rPr>
        <w:t xml:space="preserve"> sendo finalizado com a entrega, recebimento e pagamento, não podendo ultrapassar a vigência dos créditos orçamentários. Fica resguardado o prazo de garantia do objeto adquirido, conforme estipulado</w:t>
      </w:r>
      <w:r w:rsidR="002C51A5" w:rsidRPr="00C76562">
        <w:rPr>
          <w:rFonts w:ascii="Century Gothic" w:hAnsi="Century Gothic"/>
          <w:i/>
          <w:sz w:val="22"/>
          <w:szCs w:val="22"/>
        </w:rPr>
        <w:t xml:space="preserve"> no </w:t>
      </w:r>
      <w:proofErr w:type="gramStart"/>
      <w:r w:rsidR="002C51A5" w:rsidRPr="00C76562">
        <w:rPr>
          <w:rFonts w:ascii="Century Gothic" w:hAnsi="Century Gothic"/>
          <w:i/>
          <w:sz w:val="22"/>
          <w:szCs w:val="22"/>
        </w:rPr>
        <w:t>contrato</w:t>
      </w:r>
      <w:r w:rsidR="00227706" w:rsidRPr="00C76562">
        <w:rPr>
          <w:rFonts w:ascii="Century Gothic" w:hAnsi="Century Gothic"/>
          <w:i/>
          <w:sz w:val="22"/>
          <w:szCs w:val="22"/>
        </w:rPr>
        <w:t>.”</w:t>
      </w:r>
      <w:proofErr w:type="gramEnd"/>
    </w:p>
    <w:p w:rsidR="00414EF2" w:rsidRPr="00C76562" w:rsidRDefault="00414EF2" w:rsidP="004100F1">
      <w:pPr>
        <w:pStyle w:val="PargrafodaLista"/>
        <w:numPr>
          <w:ilvl w:val="1"/>
          <w:numId w:val="2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PARA O ITEM DE SERVIÇO DE MANUTENÇÃO SUPORTE OU EQUIVALENTE</w:t>
      </w:r>
    </w:p>
    <w:p w:rsidR="00414EF2" w:rsidRPr="00C76562" w:rsidRDefault="00414EF2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O prazo de vigência contratual terá início no dia subsequente ao da publicação do resumo do contrato no Diário Oficial e terá duração de _____ (_________________) meses.</w:t>
      </w:r>
    </w:p>
    <w:p w:rsidR="00414EF2" w:rsidRPr="00C76562" w:rsidRDefault="00414EF2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A prorrogação poderá ser admitida nos termos d</w:t>
      </w:r>
      <w:r w:rsidR="002C51A5" w:rsidRPr="00C76562">
        <w:rPr>
          <w:rFonts w:ascii="Century Gothic" w:hAnsi="Century Gothic"/>
          <w:sz w:val="22"/>
          <w:szCs w:val="22"/>
        </w:rPr>
        <w:t>a Lei de Licitações e Contratos</w:t>
      </w:r>
      <w:r w:rsidRPr="00C76562">
        <w:rPr>
          <w:rFonts w:ascii="Century Gothic" w:hAnsi="Century Gothic"/>
          <w:sz w:val="22"/>
          <w:szCs w:val="22"/>
        </w:rPr>
        <w:t>, mediante prévia justificativa e autorização da autoridade competente, devendo ser</w:t>
      </w:r>
      <w:r w:rsidR="002C51A5" w:rsidRPr="00C76562">
        <w:rPr>
          <w:rFonts w:ascii="Century Gothic" w:hAnsi="Century Gothic"/>
          <w:sz w:val="22"/>
          <w:szCs w:val="22"/>
        </w:rPr>
        <w:t xml:space="preserve"> precedida </w:t>
      </w:r>
      <w:r w:rsidRPr="00C76562">
        <w:rPr>
          <w:rFonts w:ascii="Century Gothic" w:hAnsi="Century Gothic"/>
          <w:sz w:val="22"/>
          <w:szCs w:val="22"/>
        </w:rPr>
        <w:t xml:space="preserve">de </w:t>
      </w:r>
      <w:r w:rsidR="002C51A5" w:rsidRPr="00C76562">
        <w:rPr>
          <w:rFonts w:ascii="Century Gothic" w:hAnsi="Century Gothic"/>
          <w:sz w:val="22"/>
          <w:szCs w:val="22"/>
        </w:rPr>
        <w:t>análise jurídica</w:t>
      </w:r>
      <w:r w:rsidRPr="00C76562">
        <w:rPr>
          <w:rFonts w:ascii="Century Gothic" w:hAnsi="Century Gothic"/>
          <w:sz w:val="22"/>
          <w:szCs w:val="22"/>
        </w:rPr>
        <w:t xml:space="preserve">. </w:t>
      </w:r>
    </w:p>
    <w:p w:rsidR="00414EF2" w:rsidRPr="00C76562" w:rsidRDefault="00414EF2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t>Parágrafo Único.</w:t>
      </w:r>
      <w:r w:rsidRPr="00C76562">
        <w:rPr>
          <w:rFonts w:ascii="Century Gothic" w:hAnsi="Century Gothic"/>
          <w:sz w:val="22"/>
          <w:szCs w:val="22"/>
        </w:rPr>
        <w:t xml:space="preserve"> Ocorrendo a hipótese prevista n</w:t>
      </w:r>
      <w:r w:rsidR="002C51A5" w:rsidRPr="00C76562">
        <w:rPr>
          <w:rFonts w:ascii="Century Gothic" w:hAnsi="Century Gothic"/>
          <w:sz w:val="22"/>
          <w:szCs w:val="22"/>
        </w:rPr>
        <w:t>a Lei de Licitações e Contratos</w:t>
      </w:r>
      <w:r w:rsidRPr="00C76562">
        <w:rPr>
          <w:rFonts w:ascii="Century Gothic" w:hAnsi="Century Gothic"/>
          <w:sz w:val="22"/>
          <w:szCs w:val="22"/>
        </w:rPr>
        <w:t xml:space="preserve">, a duração do contrato poderá sofrer prorrogação por sucessivos períodos, desde que cumpridas as formalidades </w:t>
      </w:r>
      <w:r w:rsidR="00EF5DB4" w:rsidRPr="00C76562">
        <w:rPr>
          <w:rFonts w:ascii="Century Gothic" w:hAnsi="Century Gothic"/>
          <w:sz w:val="22"/>
          <w:szCs w:val="22"/>
        </w:rPr>
        <w:t xml:space="preserve">legais, devendo </w:t>
      </w:r>
      <w:r w:rsidRPr="00C76562">
        <w:rPr>
          <w:rFonts w:ascii="Century Gothic" w:hAnsi="Century Gothic"/>
          <w:sz w:val="22"/>
          <w:szCs w:val="22"/>
        </w:rPr>
        <w:t>a medida importar em obtenção de preços e condições mais v</w:t>
      </w:r>
      <w:r w:rsidR="00227706" w:rsidRPr="00C76562">
        <w:rPr>
          <w:rFonts w:ascii="Century Gothic" w:hAnsi="Century Gothic"/>
          <w:sz w:val="22"/>
          <w:szCs w:val="22"/>
        </w:rPr>
        <w:t>antajosas para a Administração.</w:t>
      </w:r>
    </w:p>
    <w:p w:rsidR="00621328" w:rsidRPr="00C76562" w:rsidRDefault="00414EF2" w:rsidP="00621328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286FAF">
        <w:rPr>
          <w:rFonts w:ascii="Century Gothic" w:hAnsi="Century Gothic"/>
          <w:sz w:val="22"/>
          <w:szCs w:val="22"/>
        </w:rPr>
        <w:t>OBSERVAÇÃO 1</w:t>
      </w:r>
      <w:r w:rsidRPr="00C76562">
        <w:rPr>
          <w:rFonts w:ascii="Century Gothic" w:hAnsi="Century Gothic"/>
          <w:sz w:val="22"/>
          <w:szCs w:val="22"/>
          <w:u w:val="single"/>
        </w:rPr>
        <w:t>:</w:t>
      </w:r>
      <w:r w:rsidRPr="00C76562">
        <w:rPr>
          <w:rFonts w:ascii="Century Gothic" w:hAnsi="Century Gothic"/>
          <w:sz w:val="22"/>
          <w:szCs w:val="22"/>
        </w:rPr>
        <w:t xml:space="preserve"> Quando o objeto integrar itens de natureza distinta, tipo, software, Equipamento ou outro bem permanente e Serviço continuo, conforme orientação PGE, no Termo de Referência devem constar as duas vigências citadas o que culminará na elaboração de dois contratos com vigências distintas. Assim o TR deve prever que:</w:t>
      </w:r>
    </w:p>
    <w:p w:rsidR="00414EF2" w:rsidRPr="00C76562" w:rsidRDefault="00414EF2" w:rsidP="00621328">
      <w:pPr>
        <w:pStyle w:val="PargrafodaLista"/>
        <w:numPr>
          <w:ilvl w:val="0"/>
          <w:numId w:val="16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Para equipamento a vigência máxima de 31/12 do ano da compra;</w:t>
      </w:r>
    </w:p>
    <w:p w:rsidR="00414EF2" w:rsidRPr="00C76562" w:rsidRDefault="00414EF2" w:rsidP="00621328">
      <w:pPr>
        <w:pStyle w:val="PargrafodaLista"/>
        <w:numPr>
          <w:ilvl w:val="0"/>
          <w:numId w:val="16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Para serviços contínuos o prazo máximo de 60 meses;</w:t>
      </w:r>
    </w:p>
    <w:p w:rsidR="00414EF2" w:rsidRPr="00C76562" w:rsidRDefault="00414EF2" w:rsidP="00621328">
      <w:pPr>
        <w:pStyle w:val="PargrafodaLista"/>
        <w:numPr>
          <w:ilvl w:val="0"/>
          <w:numId w:val="16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Para aluguel de equipamentos e utilização de programas de informática o prazo máximo de 48 meses</w:t>
      </w:r>
    </w:p>
    <w:p w:rsidR="00414EF2" w:rsidRDefault="00414EF2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286FAF">
        <w:rPr>
          <w:rFonts w:ascii="Century Gothic" w:hAnsi="Century Gothic"/>
          <w:sz w:val="22"/>
          <w:szCs w:val="22"/>
        </w:rPr>
        <w:t>OBSERVAÇÃO 2:</w:t>
      </w:r>
      <w:r w:rsidRPr="00C76562">
        <w:rPr>
          <w:rFonts w:ascii="Century Gothic" w:hAnsi="Century Gothic"/>
          <w:sz w:val="22"/>
          <w:szCs w:val="22"/>
        </w:rPr>
        <w:t xml:space="preserve"> Quando se tratar de projeto contemplado no Plano Plurianual, cujo prazo de execução ultrapass</w:t>
      </w:r>
      <w:r w:rsidR="003D5C51" w:rsidRPr="00C76562">
        <w:rPr>
          <w:rFonts w:ascii="Century Gothic" w:hAnsi="Century Gothic"/>
          <w:sz w:val="22"/>
          <w:szCs w:val="22"/>
        </w:rPr>
        <w:t>e</w:t>
      </w:r>
      <w:r w:rsidRPr="00C76562">
        <w:rPr>
          <w:rFonts w:ascii="Century Gothic" w:hAnsi="Century Gothic"/>
          <w:sz w:val="22"/>
          <w:szCs w:val="22"/>
        </w:rPr>
        <w:t xml:space="preserve"> o exercício em curso, o autor do termo de referência deve contemplar o prazo de vigência integral que acoberta toda a execução do projeto, em consonância com </w:t>
      </w:r>
      <w:r w:rsidR="00621328" w:rsidRPr="00C76562">
        <w:rPr>
          <w:rFonts w:ascii="Century Gothic" w:hAnsi="Century Gothic"/>
          <w:sz w:val="22"/>
          <w:szCs w:val="22"/>
        </w:rPr>
        <w:t>a Lei de Licitações e Contratos</w:t>
      </w:r>
      <w:r w:rsidRPr="00C76562">
        <w:rPr>
          <w:rFonts w:ascii="Century Gothic" w:hAnsi="Century Gothic"/>
          <w:sz w:val="22"/>
          <w:szCs w:val="22"/>
        </w:rPr>
        <w:t>, evitando prorrogações desnecessárias da vigência.</w:t>
      </w:r>
    </w:p>
    <w:p w:rsidR="00690D50" w:rsidRDefault="00690D50" w:rsidP="00690D50">
      <w:pPr>
        <w:spacing w:after="12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OBSERVAÇÃO</w:t>
      </w:r>
      <w:r w:rsidR="00286FAF">
        <w:rPr>
          <w:rFonts w:ascii="Century Gothic" w:hAnsi="Century Gothic"/>
          <w:i/>
          <w:sz w:val="22"/>
          <w:szCs w:val="22"/>
        </w:rPr>
        <w:t xml:space="preserve"> 3</w:t>
      </w:r>
      <w:r>
        <w:rPr>
          <w:rFonts w:ascii="Century Gothic" w:hAnsi="Century Gothic"/>
          <w:i/>
          <w:sz w:val="22"/>
          <w:szCs w:val="22"/>
        </w:rPr>
        <w:t>: Na elaboração do edital, o texto deste item deve ser compatibilizado pela CPL com o texto atualizado da minuta padrão PGE, obedecido o prazo de vigência estabelecido pela área demandante.</w:t>
      </w:r>
    </w:p>
    <w:p w:rsidR="00690D50" w:rsidRPr="00C76562" w:rsidRDefault="00690D50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963B0A" w:rsidRDefault="00963B0A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295007" w:rsidRPr="00C76562" w:rsidRDefault="00414EF2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Vitória</w:t>
      </w:r>
      <w:r w:rsidR="00227706" w:rsidRPr="00C76562">
        <w:rPr>
          <w:rFonts w:ascii="Century Gothic" w:hAnsi="Century Gothic"/>
          <w:sz w:val="22"/>
          <w:szCs w:val="22"/>
        </w:rPr>
        <w:t>/</w:t>
      </w:r>
      <w:proofErr w:type="gramStart"/>
      <w:r w:rsidR="00227706" w:rsidRPr="00C76562">
        <w:rPr>
          <w:rFonts w:ascii="Century Gothic" w:hAnsi="Century Gothic"/>
          <w:sz w:val="22"/>
          <w:szCs w:val="22"/>
        </w:rPr>
        <w:t>ES</w:t>
      </w:r>
      <w:r w:rsidRPr="00C76562">
        <w:rPr>
          <w:rFonts w:ascii="Century Gothic" w:hAnsi="Century Gothic"/>
          <w:sz w:val="22"/>
          <w:szCs w:val="22"/>
        </w:rPr>
        <w:t>,</w:t>
      </w:r>
      <w:r w:rsidR="00227706" w:rsidRPr="00C76562">
        <w:rPr>
          <w:rFonts w:ascii="Century Gothic" w:hAnsi="Century Gothic"/>
          <w:sz w:val="22"/>
          <w:szCs w:val="22"/>
        </w:rPr>
        <w:t xml:space="preserve">  .</w:t>
      </w:r>
      <w:r w:rsidRPr="00C76562">
        <w:rPr>
          <w:rFonts w:ascii="Century Gothic" w:hAnsi="Century Gothic"/>
          <w:sz w:val="22"/>
          <w:szCs w:val="22"/>
        </w:rPr>
        <w:t>..</w:t>
      </w:r>
      <w:proofErr w:type="gramEnd"/>
      <w:r w:rsidRPr="00C76562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Pr="00C76562">
        <w:rPr>
          <w:rFonts w:ascii="Century Gothic" w:hAnsi="Century Gothic"/>
          <w:sz w:val="22"/>
          <w:szCs w:val="22"/>
        </w:rPr>
        <w:t>de</w:t>
      </w:r>
      <w:proofErr w:type="gramEnd"/>
      <w:r w:rsidRPr="00C76562">
        <w:rPr>
          <w:rFonts w:ascii="Century Gothic" w:hAnsi="Century Gothic"/>
          <w:sz w:val="22"/>
          <w:szCs w:val="22"/>
        </w:rPr>
        <w:t xml:space="preserve"> ........................de 20.....</w:t>
      </w:r>
    </w:p>
    <w:p w:rsidR="00963B0A" w:rsidRDefault="00963B0A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227706" w:rsidRPr="00C76562" w:rsidRDefault="00227706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AUTOR DO TERMO DE REFERÊNCIA</w:t>
      </w:r>
    </w:p>
    <w:p w:rsidR="00963B0A" w:rsidRDefault="00963B0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:rsidR="00414EF2" w:rsidRPr="00C76562" w:rsidRDefault="00414EF2" w:rsidP="00227706">
      <w:pPr>
        <w:spacing w:after="120"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lastRenderedPageBreak/>
        <w:t xml:space="preserve">TERMO DE REFERÊNCIA Nº </w:t>
      </w:r>
      <w:r w:rsidR="00227706" w:rsidRPr="00C76562">
        <w:rPr>
          <w:rFonts w:ascii="Century Gothic" w:hAnsi="Century Gothic"/>
          <w:b/>
          <w:sz w:val="22"/>
          <w:szCs w:val="22"/>
        </w:rPr>
        <w:t>XXX</w:t>
      </w:r>
      <w:r w:rsidRPr="00C76562">
        <w:rPr>
          <w:rFonts w:ascii="Century Gothic" w:hAnsi="Century Gothic"/>
          <w:b/>
          <w:sz w:val="22"/>
          <w:szCs w:val="22"/>
        </w:rPr>
        <w:t>/20</w:t>
      </w:r>
      <w:r w:rsidR="00227706" w:rsidRPr="00C76562">
        <w:rPr>
          <w:rFonts w:ascii="Century Gothic" w:hAnsi="Century Gothic"/>
          <w:b/>
          <w:sz w:val="22"/>
          <w:szCs w:val="22"/>
        </w:rPr>
        <w:t>XX</w:t>
      </w:r>
    </w:p>
    <w:p w:rsidR="00414EF2" w:rsidRPr="00C76562" w:rsidRDefault="00414EF2" w:rsidP="00227706">
      <w:pPr>
        <w:spacing w:after="120"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t>ANEXO I</w:t>
      </w:r>
    </w:p>
    <w:p w:rsidR="00414EF2" w:rsidRPr="00C76562" w:rsidRDefault="00414EF2" w:rsidP="00227706">
      <w:pPr>
        <w:spacing w:after="120"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t>EXEMPLO PARA PRESTAÇÃO DE SERVIÇO TÉCNICO NA MÉTRICA U.S.T.</w:t>
      </w:r>
    </w:p>
    <w:p w:rsidR="00227706" w:rsidRPr="00C76562" w:rsidRDefault="00227706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414EF2" w:rsidRPr="001222A6" w:rsidRDefault="00414EF2" w:rsidP="001222A6">
      <w:pPr>
        <w:pStyle w:val="PargrafodaLista"/>
        <w:numPr>
          <w:ilvl w:val="0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1222A6">
        <w:rPr>
          <w:rFonts w:ascii="Century Gothic" w:hAnsi="Century Gothic"/>
          <w:sz w:val="22"/>
          <w:szCs w:val="22"/>
        </w:rPr>
        <w:t xml:space="preserve">O Termo de Referência com objeto que envolve desenvolvimento de software deve ser elaborado adotando preferencialmente a métrica baseada em linha de produção focada em demanda por escopo, denominada Unidade de Serviço Técnico – UST. </w:t>
      </w:r>
    </w:p>
    <w:p w:rsidR="00414EF2" w:rsidRPr="00C76562" w:rsidRDefault="00414EF2" w:rsidP="001222A6">
      <w:pPr>
        <w:pStyle w:val="PargrafodaLista"/>
        <w:numPr>
          <w:ilvl w:val="1"/>
          <w:numId w:val="14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A complexidade deve ser definida considerando a prioridade do serviço, as características dos profissionais de mercado e sua capacidade em cumprir as atividades previstas. </w:t>
      </w:r>
    </w:p>
    <w:p w:rsidR="00414EF2" w:rsidRPr="00C76562" w:rsidRDefault="00414EF2" w:rsidP="00F64683">
      <w:pPr>
        <w:pStyle w:val="PargrafodaLista"/>
        <w:numPr>
          <w:ilvl w:val="1"/>
          <w:numId w:val="14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Proporcionalmente ao nível de complexidade do objeto ou de sua criticidade, eleva-se também a especialização do profissional que dará cumprimento a cada rotina da demanda e, por consequência, a quantidade de </w:t>
      </w:r>
      <w:proofErr w:type="spellStart"/>
      <w:r w:rsidRPr="00C76562">
        <w:rPr>
          <w:rFonts w:ascii="Century Gothic" w:hAnsi="Century Gothic"/>
          <w:sz w:val="22"/>
          <w:szCs w:val="22"/>
        </w:rPr>
        <w:t>USTs</w:t>
      </w:r>
      <w:proofErr w:type="spellEnd"/>
      <w:r w:rsidRPr="00C76562">
        <w:rPr>
          <w:rFonts w:ascii="Century Gothic" w:hAnsi="Century Gothic"/>
          <w:sz w:val="22"/>
          <w:szCs w:val="22"/>
        </w:rPr>
        <w:t xml:space="preserve"> deverá estar ajustada para que a CONTRATADA possa definir a quantidade e qualificação dos profissionais para atender </w:t>
      </w:r>
      <w:r w:rsidR="0083688E" w:rsidRPr="00C76562">
        <w:rPr>
          <w:rFonts w:ascii="Century Gothic" w:hAnsi="Century Gothic"/>
          <w:sz w:val="22"/>
          <w:szCs w:val="22"/>
        </w:rPr>
        <w:t>a</w:t>
      </w:r>
      <w:r w:rsidRPr="00C76562">
        <w:rPr>
          <w:rFonts w:ascii="Century Gothic" w:hAnsi="Century Gothic"/>
          <w:sz w:val="22"/>
          <w:szCs w:val="22"/>
        </w:rPr>
        <w:t>s atividades descritas nas Ordens de Serviços.</w:t>
      </w:r>
    </w:p>
    <w:p w:rsidR="00414EF2" w:rsidRPr="00C76562" w:rsidRDefault="00414EF2" w:rsidP="00F64683">
      <w:pPr>
        <w:pStyle w:val="PargrafodaLista"/>
        <w:numPr>
          <w:ilvl w:val="1"/>
          <w:numId w:val="14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Em função da complexidade das tarefas previstas e também na criticidade de uso do serviço pretendido, foram definidos três níveis de complexidade: Baixa, Média e Alta. O Quadro de Complexidade utilizado como exemplo define a correlação entre a complexidade de cada atividade e a quantidade de </w:t>
      </w:r>
      <w:proofErr w:type="spellStart"/>
      <w:r w:rsidRPr="00C76562">
        <w:rPr>
          <w:rFonts w:ascii="Century Gothic" w:hAnsi="Century Gothic"/>
          <w:sz w:val="22"/>
          <w:szCs w:val="22"/>
        </w:rPr>
        <w:t>USTs</w:t>
      </w:r>
      <w:proofErr w:type="spellEnd"/>
      <w:r w:rsidRPr="00C76562">
        <w:rPr>
          <w:rFonts w:ascii="Century Gothic" w:hAnsi="Century Gothic"/>
          <w:sz w:val="22"/>
          <w:szCs w:val="22"/>
        </w:rPr>
        <w:t xml:space="preserve"> equivalentes:</w:t>
      </w:r>
    </w:p>
    <w:p w:rsidR="005A3320" w:rsidRPr="00C76562" w:rsidRDefault="005A3320" w:rsidP="002A3917">
      <w:p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14EF2" w:rsidRPr="001222A6" w:rsidRDefault="00414EF2" w:rsidP="001222A6">
      <w:pPr>
        <w:pStyle w:val="PargrafodaLista"/>
        <w:numPr>
          <w:ilvl w:val="0"/>
          <w:numId w:val="23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1222A6">
        <w:rPr>
          <w:rFonts w:ascii="Century Gothic" w:hAnsi="Century Gothic"/>
          <w:b/>
          <w:sz w:val="22"/>
          <w:szCs w:val="22"/>
        </w:rPr>
        <w:t>TIPOS DE COMPLEXIDADE DAS TAREFAS</w:t>
      </w:r>
    </w:p>
    <w:p w:rsidR="00227706" w:rsidRPr="00C76562" w:rsidRDefault="00414EF2" w:rsidP="00311516">
      <w:pPr>
        <w:pStyle w:val="PargrafodaLista"/>
        <w:spacing w:after="120" w:line="276" w:lineRule="auto"/>
        <w:ind w:left="1080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Tabela 1 – Tipos de complexidades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837"/>
        <w:gridCol w:w="4657"/>
        <w:gridCol w:w="2213"/>
      </w:tblGrid>
      <w:tr w:rsidR="00227706" w:rsidRPr="00C76562" w:rsidTr="00621328">
        <w:trPr>
          <w:trHeight w:val="567"/>
        </w:trPr>
        <w:tc>
          <w:tcPr>
            <w:tcW w:w="1013" w:type="pct"/>
            <w:shd w:val="pct10" w:color="auto" w:fill="auto"/>
            <w:vAlign w:val="center"/>
          </w:tcPr>
          <w:p w:rsidR="00227706" w:rsidRPr="00C76562" w:rsidRDefault="00227706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b/>
                <w:szCs w:val="22"/>
              </w:rPr>
            </w:pPr>
            <w:r w:rsidRPr="00C76562">
              <w:rPr>
                <w:rFonts w:ascii="Century Gothic" w:hAnsi="Century Gothic"/>
                <w:b/>
                <w:szCs w:val="22"/>
              </w:rPr>
              <w:t>COMPLEXIDADE DA ATIVIDADE</w:t>
            </w:r>
          </w:p>
        </w:tc>
        <w:tc>
          <w:tcPr>
            <w:tcW w:w="388" w:type="pct"/>
            <w:shd w:val="pct10" w:color="auto" w:fill="auto"/>
            <w:vAlign w:val="center"/>
          </w:tcPr>
          <w:p w:rsidR="00227706" w:rsidRPr="00C76562" w:rsidRDefault="00227706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b/>
                <w:szCs w:val="22"/>
              </w:rPr>
            </w:pPr>
            <w:r w:rsidRPr="00C76562">
              <w:rPr>
                <w:rFonts w:ascii="Century Gothic" w:hAnsi="Century Gothic"/>
                <w:b/>
                <w:szCs w:val="22"/>
              </w:rPr>
              <w:t>SIGLA</w:t>
            </w:r>
          </w:p>
        </w:tc>
        <w:tc>
          <w:tcPr>
            <w:tcW w:w="2434" w:type="pct"/>
            <w:shd w:val="pct10" w:color="auto" w:fill="auto"/>
            <w:vAlign w:val="center"/>
          </w:tcPr>
          <w:p w:rsidR="00227706" w:rsidRPr="00C76562" w:rsidRDefault="00227706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b/>
                <w:szCs w:val="22"/>
              </w:rPr>
            </w:pPr>
            <w:r w:rsidRPr="00C76562">
              <w:rPr>
                <w:rFonts w:ascii="Century Gothic" w:hAnsi="Century Gothic"/>
                <w:b/>
                <w:szCs w:val="22"/>
              </w:rPr>
              <w:t>DEFINIÇÃO DAS ATIVIDADES</w:t>
            </w:r>
          </w:p>
        </w:tc>
        <w:tc>
          <w:tcPr>
            <w:tcW w:w="1166" w:type="pct"/>
            <w:shd w:val="pct10" w:color="auto" w:fill="auto"/>
            <w:vAlign w:val="center"/>
          </w:tcPr>
          <w:p w:rsidR="00227706" w:rsidRPr="00C76562" w:rsidRDefault="00227706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b/>
                <w:szCs w:val="22"/>
              </w:rPr>
            </w:pPr>
            <w:r w:rsidRPr="00C76562">
              <w:rPr>
                <w:rFonts w:ascii="Century Gothic" w:hAnsi="Century Gothic"/>
                <w:b/>
                <w:szCs w:val="22"/>
              </w:rPr>
              <w:t>EQUIVALÊNCIA (PESO)</w:t>
            </w:r>
          </w:p>
        </w:tc>
      </w:tr>
      <w:tr w:rsidR="00227706" w:rsidRPr="00C76562" w:rsidTr="00621328">
        <w:tc>
          <w:tcPr>
            <w:tcW w:w="1013" w:type="pct"/>
            <w:shd w:val="clear" w:color="auto" w:fill="auto"/>
            <w:vAlign w:val="center"/>
          </w:tcPr>
          <w:p w:rsidR="00227706" w:rsidRPr="00C76562" w:rsidRDefault="00227706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Baixa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27706" w:rsidRPr="00C76562" w:rsidRDefault="00227706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B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227706" w:rsidRPr="00C76562" w:rsidRDefault="00227706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Serviços técnicos com baixo grau de análise, em que a execução não afeta ou afeta poucos componentes do ambiente;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227706" w:rsidRPr="00C76562" w:rsidRDefault="00227706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1 (uma unidade)</w:t>
            </w:r>
          </w:p>
        </w:tc>
      </w:tr>
      <w:tr w:rsidR="00227706" w:rsidRPr="00C76562" w:rsidTr="00621328">
        <w:tc>
          <w:tcPr>
            <w:tcW w:w="1013" w:type="pct"/>
            <w:shd w:val="clear" w:color="auto" w:fill="auto"/>
            <w:vAlign w:val="center"/>
          </w:tcPr>
          <w:p w:rsidR="00227706" w:rsidRPr="00C76562" w:rsidRDefault="00227706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Média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27706" w:rsidRPr="00C76562" w:rsidRDefault="00227706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M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227706" w:rsidRPr="00C76562" w:rsidRDefault="00227706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Serviços técnicos cuja  execução necessita de prévia análise de impacto, como criação de planos de execução e retorno; criação de procedimentos operacionais, ajustamento de documentações; desenvolvimento de scripts; procedimentos de monitoração; leitura de relatórios e isolamento das falhas; atividades proativas para manutenção da disponibilidade; estudos e implementações de melhorias nos procedimentos operacionais e de monitoramento para processos proativos e reativos; instalação e configuração de equipamentos e softwares básicos; correções de padrões de serviços.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227706" w:rsidRPr="00C76562" w:rsidRDefault="00227706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3 (três unidades)</w:t>
            </w:r>
          </w:p>
        </w:tc>
      </w:tr>
      <w:tr w:rsidR="00227706" w:rsidRPr="00C76562" w:rsidTr="00621328">
        <w:tc>
          <w:tcPr>
            <w:tcW w:w="1013" w:type="pct"/>
            <w:shd w:val="clear" w:color="auto" w:fill="auto"/>
            <w:vAlign w:val="center"/>
          </w:tcPr>
          <w:p w:rsidR="00227706" w:rsidRPr="00C76562" w:rsidRDefault="00227706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lastRenderedPageBreak/>
              <w:t>Alta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27706" w:rsidRPr="00C76562" w:rsidRDefault="00227706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A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227706" w:rsidRPr="00C76562" w:rsidRDefault="00227706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Serviços técnicos com alto grau de análise, em que a execução pode afetar todo ou a maior parte do ambiente; Implementação de novos serviços; criação de procedimentos e controles; estudo de viabilidade e desempenho; ajustamento de processos e de serviços, aperfeiçoamento dos critérios de disponibilidade; intervenções corretivas e preventivas nos serviços para melhora ou correção do desempenho; adequação e substituição de ferramentas para administração, realinhamento de atividades e serviços para modelos de práticas adotadas; equipamentos e ferramentas críticas, criação de políticas de instalação, correção e acompanhamento; automatização de atividades.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227706" w:rsidRPr="00C76562" w:rsidRDefault="00227706" w:rsidP="00F64683">
            <w:pPr>
              <w:pStyle w:val="Edital-Nvel3"/>
              <w:numPr>
                <w:ilvl w:val="0"/>
                <w:numId w:val="2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(</w:t>
            </w:r>
            <w:proofErr w:type="gramStart"/>
            <w:r w:rsidRPr="00C76562">
              <w:rPr>
                <w:rFonts w:ascii="Century Gothic" w:hAnsi="Century Gothic"/>
                <w:szCs w:val="22"/>
              </w:rPr>
              <w:t>seis</w:t>
            </w:r>
            <w:proofErr w:type="gramEnd"/>
            <w:r w:rsidRPr="00C76562">
              <w:rPr>
                <w:rFonts w:ascii="Century Gothic" w:hAnsi="Century Gothic"/>
                <w:szCs w:val="22"/>
              </w:rPr>
              <w:t xml:space="preserve"> unidades)</w:t>
            </w:r>
          </w:p>
        </w:tc>
      </w:tr>
    </w:tbl>
    <w:p w:rsidR="00227706" w:rsidRPr="00C76562" w:rsidRDefault="00227706" w:rsidP="00227706">
      <w:pPr>
        <w:pStyle w:val="PargrafodaLista"/>
        <w:spacing w:after="120" w:line="276" w:lineRule="auto"/>
        <w:ind w:left="0"/>
        <w:jc w:val="both"/>
        <w:rPr>
          <w:rFonts w:ascii="Century Gothic" w:hAnsi="Century Gothic"/>
          <w:sz w:val="22"/>
          <w:szCs w:val="22"/>
        </w:rPr>
      </w:pPr>
    </w:p>
    <w:p w:rsidR="00414EF2" w:rsidRPr="00C76562" w:rsidRDefault="00311516" w:rsidP="00F64683">
      <w:pPr>
        <w:pStyle w:val="PargrafodaLista"/>
        <w:spacing w:after="120" w:line="276" w:lineRule="auto"/>
        <w:ind w:lef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 w:rsidR="00F64683">
        <w:rPr>
          <w:rFonts w:ascii="Century Gothic" w:hAnsi="Century Gothic"/>
          <w:sz w:val="22"/>
          <w:szCs w:val="22"/>
        </w:rPr>
        <w:t xml:space="preserve"> </w:t>
      </w:r>
      <w:r w:rsidR="00414EF2" w:rsidRPr="00C76562">
        <w:rPr>
          <w:rFonts w:ascii="Century Gothic" w:hAnsi="Century Gothic"/>
          <w:sz w:val="22"/>
          <w:szCs w:val="22"/>
        </w:rPr>
        <w:t>Tabela 2 -  Tipos de tarefas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8101"/>
      </w:tblGrid>
      <w:tr w:rsidR="00227706" w:rsidRPr="00C76562" w:rsidTr="00227706">
        <w:trPr>
          <w:trHeight w:val="340"/>
        </w:trPr>
        <w:tc>
          <w:tcPr>
            <w:tcW w:w="793" w:type="pct"/>
            <w:shd w:val="pct10" w:color="auto" w:fill="auto"/>
            <w:vAlign w:val="center"/>
          </w:tcPr>
          <w:p w:rsidR="00227706" w:rsidRPr="00C76562" w:rsidRDefault="00227706" w:rsidP="00227706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b/>
                <w:szCs w:val="22"/>
              </w:rPr>
            </w:pPr>
            <w:r w:rsidRPr="00C76562">
              <w:rPr>
                <w:rFonts w:ascii="Century Gothic" w:hAnsi="Century Gothic"/>
                <w:b/>
                <w:szCs w:val="22"/>
              </w:rPr>
              <w:t>TIPO</w:t>
            </w:r>
          </w:p>
        </w:tc>
        <w:tc>
          <w:tcPr>
            <w:tcW w:w="4207" w:type="pct"/>
            <w:shd w:val="pct10" w:color="auto" w:fill="auto"/>
            <w:vAlign w:val="center"/>
          </w:tcPr>
          <w:p w:rsidR="00227706" w:rsidRPr="00C76562" w:rsidRDefault="00227706" w:rsidP="00227706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b/>
                <w:szCs w:val="22"/>
              </w:rPr>
            </w:pPr>
            <w:r w:rsidRPr="00C76562">
              <w:rPr>
                <w:rFonts w:ascii="Century Gothic" w:hAnsi="Century Gothic"/>
                <w:b/>
                <w:szCs w:val="22"/>
              </w:rPr>
              <w:t>DESCRIÇÃO</w:t>
            </w:r>
          </w:p>
        </w:tc>
      </w:tr>
      <w:tr w:rsidR="00227706" w:rsidRPr="00C76562" w:rsidTr="00227706">
        <w:trPr>
          <w:trHeight w:val="1077"/>
        </w:trPr>
        <w:tc>
          <w:tcPr>
            <w:tcW w:w="793" w:type="pct"/>
            <w:shd w:val="clear" w:color="auto" w:fill="auto"/>
            <w:vAlign w:val="center"/>
          </w:tcPr>
          <w:p w:rsidR="00227706" w:rsidRPr="00C76562" w:rsidRDefault="00227706" w:rsidP="00227706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Demanda</w:t>
            </w:r>
          </w:p>
        </w:tc>
        <w:tc>
          <w:tcPr>
            <w:tcW w:w="4207" w:type="pct"/>
            <w:shd w:val="clear" w:color="auto" w:fill="auto"/>
            <w:vAlign w:val="center"/>
          </w:tcPr>
          <w:p w:rsidR="00227706" w:rsidRPr="00C76562" w:rsidRDefault="00227706" w:rsidP="00227706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Tarefas de execução de serviços que, mesmo tendo características similares às rotineiras, não possuem periodicidade de execução preestabelecida, sendo dependentes de solicitações das equipes ou de demandas de correções e atualizações tecnológicas.</w:t>
            </w:r>
          </w:p>
        </w:tc>
      </w:tr>
      <w:tr w:rsidR="00227706" w:rsidRPr="00C76562" w:rsidTr="00227706">
        <w:trPr>
          <w:trHeight w:val="1587"/>
        </w:trPr>
        <w:tc>
          <w:tcPr>
            <w:tcW w:w="793" w:type="pct"/>
            <w:shd w:val="clear" w:color="auto" w:fill="auto"/>
            <w:vAlign w:val="center"/>
          </w:tcPr>
          <w:p w:rsidR="00227706" w:rsidRPr="00C76562" w:rsidRDefault="00227706" w:rsidP="00227706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Incidente</w:t>
            </w:r>
          </w:p>
        </w:tc>
        <w:tc>
          <w:tcPr>
            <w:tcW w:w="4207" w:type="pct"/>
            <w:shd w:val="clear" w:color="auto" w:fill="auto"/>
            <w:vAlign w:val="center"/>
          </w:tcPr>
          <w:p w:rsidR="00227706" w:rsidRPr="00C76562" w:rsidRDefault="00227706" w:rsidP="00227706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Tarefas de execução de serviços que, mesmo tendo características similares às demandas, são utilizadas para o retorno do comportamento adequado do sistema.</w:t>
            </w:r>
          </w:p>
          <w:p w:rsidR="00227706" w:rsidRPr="00C76562" w:rsidRDefault="00227706" w:rsidP="00227706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Caso necessário, haverá no prazo estipulado, posterior criação da proposta técnica com solução definitiva contabilizando todas as atividades necessárias para a completa solução do problema.</w:t>
            </w:r>
          </w:p>
        </w:tc>
      </w:tr>
    </w:tbl>
    <w:p w:rsidR="00414EF2" w:rsidRPr="00C76562" w:rsidRDefault="00414EF2" w:rsidP="002A3917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414EF2" w:rsidRPr="00F64683" w:rsidRDefault="00414EF2" w:rsidP="001222A6">
      <w:pPr>
        <w:pStyle w:val="PargrafodaLista"/>
        <w:numPr>
          <w:ilvl w:val="0"/>
          <w:numId w:val="23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F64683">
        <w:rPr>
          <w:rFonts w:ascii="Century Gothic" w:hAnsi="Century Gothic"/>
          <w:b/>
          <w:sz w:val="22"/>
          <w:szCs w:val="22"/>
        </w:rPr>
        <w:t>ATIVIDADES PREVISTAS X COMPLEXIDADES</w:t>
      </w:r>
    </w:p>
    <w:p w:rsidR="005A3320" w:rsidRPr="00F64683" w:rsidRDefault="005A3320" w:rsidP="001222A6">
      <w:pPr>
        <w:pStyle w:val="PargrafodaLista"/>
        <w:numPr>
          <w:ilvl w:val="1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F64683">
        <w:rPr>
          <w:rFonts w:ascii="Century Gothic" w:hAnsi="Century Gothic"/>
          <w:sz w:val="22"/>
          <w:szCs w:val="22"/>
        </w:rPr>
        <w:t xml:space="preserve">A seguir seguem descritos exemplos de atividades com respectivas complexidades e quantitativos de </w:t>
      </w:r>
      <w:proofErr w:type="spellStart"/>
      <w:r w:rsidRPr="00F64683">
        <w:rPr>
          <w:rFonts w:ascii="Century Gothic" w:hAnsi="Century Gothic"/>
          <w:sz w:val="22"/>
          <w:szCs w:val="22"/>
        </w:rPr>
        <w:t>USTs</w:t>
      </w:r>
      <w:proofErr w:type="spellEnd"/>
      <w:r w:rsidRPr="00F64683">
        <w:rPr>
          <w:rFonts w:ascii="Century Gothic" w:hAnsi="Century Gothic"/>
          <w:sz w:val="22"/>
          <w:szCs w:val="22"/>
        </w:rPr>
        <w:t xml:space="preserve"> necessárias à execução da tarefa. </w:t>
      </w:r>
    </w:p>
    <w:p w:rsidR="00414EF2" w:rsidRPr="00C76562" w:rsidRDefault="00414EF2" w:rsidP="00F64683">
      <w:pPr>
        <w:pStyle w:val="PargrafodaLista"/>
        <w:spacing w:after="120" w:line="276" w:lineRule="auto"/>
        <w:ind w:left="1080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Tabela 3 -  Descrição das at</w:t>
      </w:r>
      <w:r w:rsidR="005A3320" w:rsidRPr="00C76562">
        <w:rPr>
          <w:rFonts w:ascii="Century Gothic" w:hAnsi="Century Gothic"/>
          <w:sz w:val="22"/>
          <w:szCs w:val="22"/>
        </w:rPr>
        <w:t xml:space="preserve">ividades e quantitativo de </w:t>
      </w:r>
      <w:proofErr w:type="spellStart"/>
      <w:r w:rsidR="005A3320" w:rsidRPr="00C76562">
        <w:rPr>
          <w:rFonts w:ascii="Century Gothic" w:hAnsi="Century Gothic"/>
          <w:sz w:val="22"/>
          <w:szCs w:val="22"/>
        </w:rPr>
        <w:t>USTs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315"/>
        <w:gridCol w:w="982"/>
        <w:gridCol w:w="1827"/>
        <w:gridCol w:w="1506"/>
        <w:gridCol w:w="704"/>
      </w:tblGrid>
      <w:tr w:rsidR="005A3320" w:rsidRPr="00C76562" w:rsidTr="00621328">
        <w:trPr>
          <w:trHeight w:val="794"/>
          <w:tblHeader/>
        </w:trPr>
        <w:tc>
          <w:tcPr>
            <w:tcW w:w="1958" w:type="pct"/>
            <w:shd w:val="pct10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b/>
                <w:szCs w:val="22"/>
              </w:rPr>
            </w:pPr>
            <w:bookmarkStart w:id="1" w:name="OLE_LINK1"/>
            <w:bookmarkStart w:id="2" w:name="OLE_LINK2"/>
            <w:r w:rsidRPr="00C76562">
              <w:rPr>
                <w:rFonts w:ascii="Century Gothic" w:hAnsi="Century Gothic"/>
                <w:b/>
                <w:szCs w:val="22"/>
              </w:rPr>
              <w:t>Serviços de suporte e consultoria técnica em servidores de aplicação Java</w:t>
            </w:r>
          </w:p>
        </w:tc>
        <w:tc>
          <w:tcPr>
            <w:tcW w:w="631" w:type="pct"/>
            <w:shd w:val="pct10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b/>
                <w:szCs w:val="22"/>
              </w:rPr>
            </w:pPr>
            <w:r w:rsidRPr="00C76562">
              <w:rPr>
                <w:rFonts w:ascii="Century Gothic" w:hAnsi="Century Gothic"/>
                <w:b/>
                <w:szCs w:val="22"/>
              </w:rPr>
              <w:t>Tipo</w:t>
            </w:r>
          </w:p>
        </w:tc>
        <w:tc>
          <w:tcPr>
            <w:tcW w:w="474" w:type="pct"/>
            <w:shd w:val="pct10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b/>
                <w:szCs w:val="22"/>
              </w:rPr>
            </w:pPr>
            <w:r w:rsidRPr="00C76562">
              <w:rPr>
                <w:rFonts w:ascii="Century Gothic" w:hAnsi="Century Gothic"/>
                <w:b/>
                <w:szCs w:val="22"/>
              </w:rPr>
              <w:t>Esforço (hora)</w:t>
            </w:r>
          </w:p>
        </w:tc>
        <w:tc>
          <w:tcPr>
            <w:tcW w:w="873" w:type="pct"/>
            <w:shd w:val="pct10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b/>
                <w:szCs w:val="22"/>
              </w:rPr>
            </w:pPr>
            <w:r w:rsidRPr="00C76562">
              <w:rPr>
                <w:rFonts w:ascii="Century Gothic" w:hAnsi="Century Gothic"/>
                <w:b/>
                <w:szCs w:val="22"/>
              </w:rPr>
              <w:t>Complexidade</w:t>
            </w:r>
          </w:p>
        </w:tc>
        <w:tc>
          <w:tcPr>
            <w:tcW w:w="721" w:type="pct"/>
            <w:shd w:val="pct10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b/>
                <w:szCs w:val="22"/>
              </w:rPr>
            </w:pPr>
            <w:r w:rsidRPr="00C76562">
              <w:rPr>
                <w:rFonts w:ascii="Century Gothic" w:hAnsi="Century Gothic"/>
                <w:b/>
                <w:szCs w:val="22"/>
              </w:rPr>
              <w:t>Quantidade</w:t>
            </w:r>
          </w:p>
        </w:tc>
        <w:tc>
          <w:tcPr>
            <w:tcW w:w="343" w:type="pct"/>
            <w:shd w:val="pct10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b/>
                <w:szCs w:val="22"/>
              </w:rPr>
            </w:pPr>
            <w:proofErr w:type="spellStart"/>
            <w:r w:rsidRPr="00C76562">
              <w:rPr>
                <w:rFonts w:ascii="Century Gothic" w:hAnsi="Century Gothic"/>
                <w:b/>
                <w:szCs w:val="22"/>
              </w:rPr>
              <w:t>USTs</w:t>
            </w:r>
            <w:proofErr w:type="spellEnd"/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 xml:space="preserve">Realizar suporte especialista à instalação do ambiente Oracle </w:t>
            </w:r>
            <w:proofErr w:type="spellStart"/>
            <w:r w:rsidRPr="00C76562">
              <w:rPr>
                <w:rFonts w:ascii="Century Gothic" w:hAnsi="Century Gothic"/>
                <w:szCs w:val="22"/>
              </w:rPr>
              <w:t>Weblogic</w:t>
            </w:r>
            <w:proofErr w:type="spellEnd"/>
            <w:r w:rsidRPr="00C76562">
              <w:rPr>
                <w:rFonts w:ascii="Century Gothic" w:hAnsi="Century Gothic"/>
                <w:szCs w:val="22"/>
              </w:rPr>
              <w:t xml:space="preserve"> </w:t>
            </w:r>
            <w:proofErr w:type="spellStart"/>
            <w:r w:rsidRPr="00C76562">
              <w:rPr>
                <w:rFonts w:ascii="Century Gothic" w:hAnsi="Century Gothic"/>
                <w:szCs w:val="22"/>
              </w:rPr>
              <w:t>Suite</w:t>
            </w:r>
            <w:proofErr w:type="spellEnd"/>
            <w:r w:rsidRPr="00C76562">
              <w:rPr>
                <w:rFonts w:ascii="Century Gothic" w:hAnsi="Century Gothic"/>
                <w:szCs w:val="22"/>
              </w:rPr>
              <w:t xml:space="preserve"> com documentação de instalação realizada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Demanda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Baixa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12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 xml:space="preserve">Realizar suporte especialista à instalação do ambiente IBM </w:t>
            </w:r>
            <w:proofErr w:type="spellStart"/>
            <w:r w:rsidRPr="00C76562">
              <w:rPr>
                <w:rFonts w:ascii="Century Gothic" w:hAnsi="Century Gothic"/>
                <w:szCs w:val="22"/>
              </w:rPr>
              <w:t>WebSphere</w:t>
            </w:r>
            <w:proofErr w:type="spellEnd"/>
            <w:r w:rsidRPr="00C76562">
              <w:rPr>
                <w:rFonts w:ascii="Century Gothic" w:hAnsi="Century Gothic"/>
                <w:szCs w:val="22"/>
              </w:rPr>
              <w:t xml:space="preserve"> </w:t>
            </w:r>
            <w:proofErr w:type="spellStart"/>
            <w:r w:rsidRPr="00C76562">
              <w:rPr>
                <w:rFonts w:ascii="Century Gothic" w:hAnsi="Century Gothic"/>
                <w:szCs w:val="22"/>
              </w:rPr>
              <w:t>Application</w:t>
            </w:r>
            <w:proofErr w:type="spellEnd"/>
            <w:r w:rsidRPr="00C76562">
              <w:rPr>
                <w:rFonts w:ascii="Century Gothic" w:hAnsi="Century Gothic"/>
                <w:szCs w:val="22"/>
              </w:rPr>
              <w:t xml:space="preserve"> </w:t>
            </w:r>
            <w:r w:rsidRPr="00C76562">
              <w:rPr>
                <w:rFonts w:ascii="Century Gothic" w:hAnsi="Century Gothic"/>
                <w:szCs w:val="22"/>
              </w:rPr>
              <w:lastRenderedPageBreak/>
              <w:t>Server com documentação de instalação realizada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lastRenderedPageBreak/>
              <w:t>Demanda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Baixa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8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 xml:space="preserve">Estudar, propor e/ou executar solução para integração entre os diversos sistemas em Infraestrutura com Oracle </w:t>
            </w:r>
            <w:proofErr w:type="spellStart"/>
            <w:r w:rsidRPr="00C76562">
              <w:rPr>
                <w:rFonts w:ascii="Century Gothic" w:hAnsi="Century Gothic"/>
                <w:szCs w:val="22"/>
              </w:rPr>
              <w:t>Weblogic</w:t>
            </w:r>
            <w:proofErr w:type="spellEnd"/>
            <w:r w:rsidRPr="00C76562">
              <w:rPr>
                <w:rFonts w:ascii="Century Gothic" w:hAnsi="Century Gothic"/>
                <w:szCs w:val="22"/>
              </w:rPr>
              <w:t xml:space="preserve"> </w:t>
            </w:r>
            <w:proofErr w:type="spellStart"/>
            <w:r w:rsidRPr="00C76562">
              <w:rPr>
                <w:rFonts w:ascii="Century Gothic" w:hAnsi="Century Gothic"/>
                <w:szCs w:val="22"/>
              </w:rPr>
              <w:t>Suite</w:t>
            </w:r>
            <w:proofErr w:type="spellEnd"/>
            <w:r w:rsidRPr="00C76562">
              <w:rPr>
                <w:rFonts w:ascii="Century Gothic" w:hAnsi="Century Gothic"/>
                <w:szCs w:val="22"/>
              </w:rPr>
              <w:t xml:space="preserve"> com entrega de documento de análise e plano ação e replicar para todos os ambientes da entidade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Demanda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24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Alta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432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 xml:space="preserve">Estudar, propor e/ou executar solução para integração entre os diversos sistemas em Infraestrutura com IBM </w:t>
            </w:r>
            <w:proofErr w:type="spellStart"/>
            <w:r w:rsidRPr="00C76562">
              <w:rPr>
                <w:rFonts w:ascii="Century Gothic" w:hAnsi="Century Gothic"/>
                <w:szCs w:val="22"/>
              </w:rPr>
              <w:t>WebSphere</w:t>
            </w:r>
            <w:proofErr w:type="spellEnd"/>
            <w:r w:rsidRPr="00C76562">
              <w:rPr>
                <w:rFonts w:ascii="Century Gothic" w:hAnsi="Century Gothic"/>
                <w:szCs w:val="22"/>
              </w:rPr>
              <w:t xml:space="preserve"> </w:t>
            </w:r>
            <w:proofErr w:type="spellStart"/>
            <w:r w:rsidRPr="00C76562">
              <w:rPr>
                <w:rFonts w:ascii="Century Gothic" w:hAnsi="Century Gothic"/>
                <w:szCs w:val="22"/>
              </w:rPr>
              <w:t>Application</w:t>
            </w:r>
            <w:proofErr w:type="spellEnd"/>
            <w:r w:rsidRPr="00C76562">
              <w:rPr>
                <w:rFonts w:ascii="Century Gothic" w:hAnsi="Century Gothic"/>
                <w:szCs w:val="22"/>
              </w:rPr>
              <w:t xml:space="preserve"> Server com entrega de documento de análise e plano ação e replicar para todos os ambientes da entidade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Demanda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24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Alta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288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 xml:space="preserve">Manutenções corretivas relacionadas aos servidores de aplicação Oracle </w:t>
            </w:r>
            <w:proofErr w:type="spellStart"/>
            <w:r w:rsidRPr="00C76562">
              <w:rPr>
                <w:rFonts w:ascii="Century Gothic" w:hAnsi="Century Gothic"/>
                <w:szCs w:val="22"/>
              </w:rPr>
              <w:t>Weblogic</w:t>
            </w:r>
            <w:proofErr w:type="spellEnd"/>
          </w:p>
        </w:tc>
        <w:tc>
          <w:tcPr>
            <w:tcW w:w="631" w:type="pct"/>
            <w:shd w:val="clear" w:color="auto" w:fill="F7CAAC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Incidente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Alta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48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 xml:space="preserve">Manutenções corretivas relacionadas aos servidores de aplicação IBM </w:t>
            </w:r>
            <w:proofErr w:type="spellStart"/>
            <w:r w:rsidRPr="00C76562">
              <w:rPr>
                <w:rFonts w:ascii="Century Gothic" w:hAnsi="Century Gothic"/>
                <w:szCs w:val="22"/>
              </w:rPr>
              <w:t>WebSphere</w:t>
            </w:r>
            <w:proofErr w:type="spellEnd"/>
            <w:r w:rsidRPr="00C76562">
              <w:rPr>
                <w:rFonts w:ascii="Century Gothic" w:hAnsi="Century Gothic"/>
                <w:szCs w:val="22"/>
              </w:rPr>
              <w:t xml:space="preserve"> </w:t>
            </w:r>
            <w:proofErr w:type="spellStart"/>
            <w:r w:rsidRPr="00C76562">
              <w:rPr>
                <w:rFonts w:ascii="Century Gothic" w:hAnsi="Century Gothic"/>
                <w:szCs w:val="22"/>
              </w:rPr>
              <w:t>Application</w:t>
            </w:r>
            <w:proofErr w:type="spellEnd"/>
            <w:r w:rsidRPr="00C76562">
              <w:rPr>
                <w:rFonts w:ascii="Century Gothic" w:hAnsi="Century Gothic"/>
                <w:szCs w:val="22"/>
              </w:rPr>
              <w:t xml:space="preserve"> Server</w:t>
            </w:r>
          </w:p>
        </w:tc>
        <w:tc>
          <w:tcPr>
            <w:tcW w:w="631" w:type="pct"/>
            <w:shd w:val="clear" w:color="auto" w:fill="F7CAAC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Incidente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Alta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96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Definir serviços, interfaces e produtos para soluções SOA utilizando ferramentas oficiais da entidade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Demanda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Média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50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600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ind w:left="851" w:hanging="851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Instalar e configurar o ambiente SOA/BPM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Demanda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Baixa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10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80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Efetuar a orquestração/sincronização dos Webservice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Demanda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16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Alta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768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Elaborar plano de implantação das ferramentas SOA/BPM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Demanda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Média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96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Manutenções corretivas relacionadas às ferramentas SOA/BPM</w:t>
            </w:r>
          </w:p>
        </w:tc>
        <w:tc>
          <w:tcPr>
            <w:tcW w:w="631" w:type="pct"/>
            <w:shd w:val="clear" w:color="auto" w:fill="F7CAAC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Incidente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Alta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288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Manutenções corretivas relacionadas às ferramentas SOA/BPM</w:t>
            </w:r>
          </w:p>
        </w:tc>
        <w:tc>
          <w:tcPr>
            <w:tcW w:w="631" w:type="pct"/>
            <w:shd w:val="clear" w:color="auto" w:fill="F7CAAC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Incidente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Média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24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432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lastRenderedPageBreak/>
              <w:t>Manutenções corretivas relacionadas às ferramentas SOA/BPM</w:t>
            </w:r>
          </w:p>
        </w:tc>
        <w:tc>
          <w:tcPr>
            <w:tcW w:w="631" w:type="pct"/>
            <w:shd w:val="clear" w:color="auto" w:fill="F7CAAC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Incidente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Baixa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384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 xml:space="preserve">Instalação e customização de sistemas gerenciadores de Bancos de Dados (SGBD) Oracle e </w:t>
            </w:r>
            <w:proofErr w:type="spellStart"/>
            <w:r w:rsidRPr="00C76562">
              <w:rPr>
                <w:rFonts w:ascii="Century Gothic" w:hAnsi="Century Gothic"/>
                <w:szCs w:val="22"/>
              </w:rPr>
              <w:t>SQLServer</w:t>
            </w:r>
            <w:proofErr w:type="spellEnd"/>
          </w:p>
        </w:tc>
        <w:tc>
          <w:tcPr>
            <w:tcW w:w="631" w:type="pct"/>
            <w:shd w:val="clear" w:color="auto" w:fill="D9D9D9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Demanda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Média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144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Realização de ajustes (“</w:t>
            </w:r>
            <w:proofErr w:type="spellStart"/>
            <w:r w:rsidRPr="00C76562">
              <w:rPr>
                <w:rFonts w:ascii="Century Gothic" w:hAnsi="Century Gothic"/>
                <w:szCs w:val="22"/>
              </w:rPr>
              <w:t>tuning</w:t>
            </w:r>
            <w:proofErr w:type="spellEnd"/>
            <w:r w:rsidRPr="00C76562">
              <w:rPr>
                <w:rFonts w:ascii="Century Gothic" w:hAnsi="Century Gothic"/>
                <w:szCs w:val="22"/>
              </w:rPr>
              <w:t>”) do banco de dados, com as devidas técnicas necessárias para otimização dos aplicativos, com documentação técnica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Demanda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Baixa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48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 xml:space="preserve">Elaboração e manutenção das políticas de backup e </w:t>
            </w:r>
            <w:proofErr w:type="spellStart"/>
            <w:r w:rsidRPr="00C76562">
              <w:rPr>
                <w:rFonts w:ascii="Century Gothic" w:hAnsi="Century Gothic"/>
                <w:szCs w:val="22"/>
              </w:rPr>
              <w:t>restore</w:t>
            </w:r>
            <w:proofErr w:type="spellEnd"/>
            <w:r w:rsidRPr="00C76562">
              <w:rPr>
                <w:rFonts w:ascii="Century Gothic" w:hAnsi="Century Gothic"/>
                <w:szCs w:val="22"/>
              </w:rPr>
              <w:t xml:space="preserve"> dos </w:t>
            </w:r>
            <w:proofErr w:type="spellStart"/>
            <w:r w:rsidRPr="00C76562">
              <w:rPr>
                <w:rFonts w:ascii="Century Gothic" w:hAnsi="Century Gothic"/>
                <w:szCs w:val="22"/>
              </w:rPr>
              <w:t>SGBD’s</w:t>
            </w:r>
            <w:proofErr w:type="spellEnd"/>
            <w:r w:rsidRPr="00C76562">
              <w:rPr>
                <w:rFonts w:ascii="Century Gothic" w:hAnsi="Century Gothic"/>
                <w:szCs w:val="22"/>
              </w:rPr>
              <w:t xml:space="preserve">, documentação dos procedimentos de backup e </w:t>
            </w:r>
            <w:proofErr w:type="spellStart"/>
            <w:r w:rsidRPr="00C76562">
              <w:rPr>
                <w:rFonts w:ascii="Century Gothic" w:hAnsi="Century Gothic"/>
                <w:szCs w:val="22"/>
              </w:rPr>
              <w:t>restore</w:t>
            </w:r>
            <w:proofErr w:type="spellEnd"/>
            <w:r w:rsidRPr="00C76562">
              <w:rPr>
                <w:rFonts w:ascii="Century Gothic" w:hAnsi="Century Gothic"/>
                <w:szCs w:val="22"/>
              </w:rPr>
              <w:t>, seguindo os padrões estabelecidos pela entidade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Demanda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Média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48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Execução de atividades de manutenção referentes aos Bancos de Dados tais como migração de base de dados para outros servidores e carga de dados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Demanda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Média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288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Manutenções corretivas relacionadas as bases de dados com retorno do comportamento adequado</w:t>
            </w:r>
          </w:p>
        </w:tc>
        <w:tc>
          <w:tcPr>
            <w:tcW w:w="631" w:type="pct"/>
            <w:shd w:val="clear" w:color="auto" w:fill="F7CAAC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Incidente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Alta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288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Manutenções corretivas relacionadas as bases de dados com retorno do comportamento adequado</w:t>
            </w:r>
          </w:p>
        </w:tc>
        <w:tc>
          <w:tcPr>
            <w:tcW w:w="631" w:type="pct"/>
            <w:shd w:val="clear" w:color="auto" w:fill="F7CAAC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Incidente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Média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24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432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Manutenções corretivas relacionadas as bases de dados com retorno do comportamento adequado</w:t>
            </w:r>
          </w:p>
        </w:tc>
        <w:tc>
          <w:tcPr>
            <w:tcW w:w="631" w:type="pct"/>
            <w:shd w:val="clear" w:color="auto" w:fill="F7CAAC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Incidente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Baixa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48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384</w:t>
            </w:r>
          </w:p>
        </w:tc>
      </w:tr>
      <w:tr w:rsidR="005A3320" w:rsidRPr="00C76562" w:rsidTr="00621328">
        <w:tc>
          <w:tcPr>
            <w:tcW w:w="1958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rPr>
                <w:rFonts w:ascii="Century Gothic" w:hAnsi="Century Gothic"/>
                <w:b/>
                <w:szCs w:val="22"/>
              </w:rPr>
            </w:pPr>
            <w:r w:rsidRPr="00C76562">
              <w:rPr>
                <w:rFonts w:ascii="Century Gothic" w:hAnsi="Century Gothic"/>
                <w:b/>
                <w:szCs w:val="22"/>
              </w:rPr>
              <w:t>TOTAL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-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5A3320" w:rsidRPr="00C76562" w:rsidRDefault="005A3320" w:rsidP="00621328">
            <w:pPr>
              <w:pStyle w:val="Edital-Nvel3"/>
              <w:numPr>
                <w:ilvl w:val="0"/>
                <w:numId w:val="0"/>
              </w:numPr>
              <w:suppressAutoHyphens/>
              <w:jc w:val="center"/>
              <w:rPr>
                <w:rFonts w:ascii="Century Gothic" w:hAnsi="Century Gothic"/>
                <w:szCs w:val="22"/>
              </w:rPr>
            </w:pPr>
            <w:r w:rsidRPr="00C76562">
              <w:rPr>
                <w:rFonts w:ascii="Century Gothic" w:hAnsi="Century Gothic"/>
                <w:szCs w:val="22"/>
              </w:rPr>
              <w:t>5164</w:t>
            </w:r>
          </w:p>
        </w:tc>
      </w:tr>
      <w:bookmarkEnd w:id="1"/>
      <w:bookmarkEnd w:id="2"/>
    </w:tbl>
    <w:p w:rsidR="005A3320" w:rsidRPr="00C76562" w:rsidRDefault="005A3320" w:rsidP="005A3320">
      <w:pPr>
        <w:pStyle w:val="PargrafodaLista"/>
        <w:spacing w:after="120" w:line="276" w:lineRule="auto"/>
        <w:ind w:left="0"/>
        <w:jc w:val="both"/>
        <w:rPr>
          <w:rFonts w:ascii="Century Gothic" w:hAnsi="Century Gothic"/>
          <w:sz w:val="22"/>
          <w:szCs w:val="22"/>
        </w:rPr>
      </w:pPr>
    </w:p>
    <w:p w:rsidR="005A3320" w:rsidRPr="00F64683" w:rsidRDefault="005A3320" w:rsidP="001222A6">
      <w:pPr>
        <w:pStyle w:val="PargrafodaLista"/>
        <w:numPr>
          <w:ilvl w:val="2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F64683">
        <w:rPr>
          <w:rFonts w:ascii="Century Gothic" w:hAnsi="Century Gothic"/>
          <w:sz w:val="22"/>
          <w:szCs w:val="22"/>
        </w:rPr>
        <w:t xml:space="preserve">As atividades relacionadas na tabela acima são exemplificativas e não exaustivas. Observar a necessidade de adicionar atividades relacionadas ao OBJETO, de forma justificada, e previamente acordada entre a CONTRATANTE e a CONTRATADA. Dessa forma, as mesmas regras e critérios estabelecidos na tabela “Tabela 1 - Tipos de </w:t>
      </w:r>
      <w:r w:rsidRPr="00F64683">
        <w:rPr>
          <w:rFonts w:ascii="Century Gothic" w:hAnsi="Century Gothic"/>
          <w:sz w:val="22"/>
          <w:szCs w:val="22"/>
        </w:rPr>
        <w:lastRenderedPageBreak/>
        <w:t>complexidades” serão aplicados e o esforço em horas será estipulado pela CONTRATANTE;</w:t>
      </w:r>
    </w:p>
    <w:p w:rsidR="005A3320" w:rsidRPr="00F64683" w:rsidRDefault="00414EF2" w:rsidP="001222A6">
      <w:pPr>
        <w:pStyle w:val="PargrafodaLista"/>
        <w:numPr>
          <w:ilvl w:val="2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F64683">
        <w:rPr>
          <w:rFonts w:ascii="Century Gothic" w:hAnsi="Century Gothic"/>
          <w:sz w:val="22"/>
          <w:szCs w:val="22"/>
        </w:rPr>
        <w:t xml:space="preserve">As atividades não relacionadas na tabela, caso necessárias, devem ser formalizadas através de Ordens de Serviços, observado o limite de quantidade de </w:t>
      </w:r>
      <w:proofErr w:type="spellStart"/>
      <w:r w:rsidRPr="00F64683">
        <w:rPr>
          <w:rFonts w:ascii="Century Gothic" w:hAnsi="Century Gothic"/>
          <w:sz w:val="22"/>
          <w:szCs w:val="22"/>
        </w:rPr>
        <w:t>USTs</w:t>
      </w:r>
      <w:proofErr w:type="spellEnd"/>
      <w:r w:rsidRPr="00F64683">
        <w:rPr>
          <w:rFonts w:ascii="Century Gothic" w:hAnsi="Century Gothic"/>
          <w:sz w:val="22"/>
          <w:szCs w:val="22"/>
        </w:rPr>
        <w:t xml:space="preserve"> estimada no Termo de Referência;</w:t>
      </w:r>
    </w:p>
    <w:p w:rsidR="005A3320" w:rsidRPr="00F64683" w:rsidRDefault="00414EF2" w:rsidP="001222A6">
      <w:pPr>
        <w:pStyle w:val="PargrafodaLista"/>
        <w:numPr>
          <w:ilvl w:val="2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F64683">
        <w:rPr>
          <w:rFonts w:ascii="Century Gothic" w:hAnsi="Century Gothic"/>
          <w:sz w:val="22"/>
          <w:szCs w:val="22"/>
        </w:rPr>
        <w:t>Na tabela 3 a coluna “Quantidade” indica o número previsto de ocorrências de cada atividade, durante a vigência do contrato. Já a coluna “</w:t>
      </w:r>
      <w:proofErr w:type="spellStart"/>
      <w:r w:rsidRPr="00F64683">
        <w:rPr>
          <w:rFonts w:ascii="Century Gothic" w:hAnsi="Century Gothic"/>
          <w:sz w:val="22"/>
          <w:szCs w:val="22"/>
        </w:rPr>
        <w:t>USTs</w:t>
      </w:r>
      <w:proofErr w:type="spellEnd"/>
      <w:r w:rsidRPr="00F64683">
        <w:rPr>
          <w:rFonts w:ascii="Century Gothic" w:hAnsi="Century Gothic"/>
          <w:sz w:val="22"/>
          <w:szCs w:val="22"/>
        </w:rPr>
        <w:t xml:space="preserve">” indica a quantidade estimada de </w:t>
      </w:r>
      <w:proofErr w:type="spellStart"/>
      <w:r w:rsidRPr="00F64683">
        <w:rPr>
          <w:rFonts w:ascii="Century Gothic" w:hAnsi="Century Gothic"/>
          <w:sz w:val="22"/>
          <w:szCs w:val="22"/>
        </w:rPr>
        <w:t>USTs</w:t>
      </w:r>
      <w:proofErr w:type="spellEnd"/>
      <w:r w:rsidRPr="00F64683">
        <w:rPr>
          <w:rFonts w:ascii="Century Gothic" w:hAnsi="Century Gothic"/>
          <w:sz w:val="22"/>
          <w:szCs w:val="22"/>
        </w:rPr>
        <w:t xml:space="preserve"> por atividade;</w:t>
      </w:r>
    </w:p>
    <w:p w:rsidR="005A3320" w:rsidRPr="00F64683" w:rsidRDefault="00414EF2" w:rsidP="001222A6">
      <w:pPr>
        <w:pStyle w:val="PargrafodaLista"/>
        <w:numPr>
          <w:ilvl w:val="2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F64683">
        <w:rPr>
          <w:rFonts w:ascii="Century Gothic" w:hAnsi="Century Gothic"/>
          <w:sz w:val="22"/>
          <w:szCs w:val="22"/>
        </w:rPr>
        <w:t>Para o cálculo de UST por atividade, é necessário multiplicar o “esforço (</w:t>
      </w:r>
      <w:proofErr w:type="gramStart"/>
      <w:r w:rsidRPr="00F64683">
        <w:rPr>
          <w:rFonts w:ascii="Century Gothic" w:hAnsi="Century Gothic"/>
          <w:sz w:val="22"/>
          <w:szCs w:val="22"/>
        </w:rPr>
        <w:t>Hora)”</w:t>
      </w:r>
      <w:proofErr w:type="gramEnd"/>
      <w:r w:rsidRPr="00F64683">
        <w:rPr>
          <w:rFonts w:ascii="Century Gothic" w:hAnsi="Century Gothic"/>
          <w:sz w:val="22"/>
          <w:szCs w:val="22"/>
        </w:rPr>
        <w:t xml:space="preserve"> pela “complexidade”, definido na tabela “Tabela 1 - Tipos de complexidades”. Enfim, deve-se multiplicar esse resultado encontrado pelo valor apresentado na coluna “quantidade”. Vide exemplo abaixo:</w:t>
      </w:r>
    </w:p>
    <w:p w:rsidR="005A3320" w:rsidRPr="00F64683" w:rsidRDefault="00414EF2" w:rsidP="001222A6">
      <w:pPr>
        <w:pStyle w:val="PargrafodaLista"/>
        <w:numPr>
          <w:ilvl w:val="2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F64683">
        <w:rPr>
          <w:rFonts w:ascii="Century Gothic" w:hAnsi="Century Gothic"/>
          <w:sz w:val="22"/>
          <w:szCs w:val="22"/>
        </w:rPr>
        <w:t xml:space="preserve">Os serviços deverão ser medidos utilizando-se a Unidade de Serviço Técnico – UST, em conformidade com o descrito nas Tabelas ― Tabela 1 - Tipos de complexidades, Tabela 2 - Definição dos tipos de tarefa, Tabela 3 - Descrição das atividades – e quantitativo de </w:t>
      </w:r>
      <w:proofErr w:type="spellStart"/>
      <w:r w:rsidRPr="00F64683">
        <w:rPr>
          <w:rFonts w:ascii="Century Gothic" w:hAnsi="Century Gothic"/>
          <w:sz w:val="22"/>
          <w:szCs w:val="22"/>
        </w:rPr>
        <w:t>USTs</w:t>
      </w:r>
      <w:proofErr w:type="spellEnd"/>
      <w:r w:rsidRPr="00F64683">
        <w:rPr>
          <w:rFonts w:ascii="Century Gothic" w:hAnsi="Century Gothic"/>
          <w:sz w:val="22"/>
          <w:szCs w:val="22"/>
        </w:rPr>
        <w:t xml:space="preserve"> do Termo de Referência.</w:t>
      </w:r>
    </w:p>
    <w:p w:rsidR="005A3320" w:rsidRPr="00F64683" w:rsidRDefault="00414EF2" w:rsidP="001222A6">
      <w:pPr>
        <w:pStyle w:val="PargrafodaLista"/>
        <w:numPr>
          <w:ilvl w:val="2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F64683">
        <w:rPr>
          <w:rFonts w:ascii="Century Gothic" w:hAnsi="Century Gothic"/>
          <w:sz w:val="22"/>
          <w:szCs w:val="22"/>
        </w:rPr>
        <w:t>O esforço pré-estabelecido nas atividades relacionadas na tabela abrange as atividades desenvolvidas e executadas no ambiente de desenvolvimento e replicadas para os ambientes de homologação e produção do DATACENTER, com sua devida documentação;</w:t>
      </w:r>
    </w:p>
    <w:p w:rsidR="005A3320" w:rsidRPr="00F64683" w:rsidRDefault="00414EF2" w:rsidP="001222A6">
      <w:pPr>
        <w:pStyle w:val="PargrafodaLista"/>
        <w:numPr>
          <w:ilvl w:val="2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F64683">
        <w:rPr>
          <w:rFonts w:ascii="Century Gothic" w:hAnsi="Century Gothic"/>
          <w:sz w:val="22"/>
          <w:szCs w:val="22"/>
        </w:rPr>
        <w:t>As atividades desenvolvidas em ambiente de desenvolvimento deverão ser replicadas para os ambientes de homologação e produção da entidade, com a devida autorização dada pela CONTRATANTE para cada um dos ambientes;</w:t>
      </w:r>
    </w:p>
    <w:p w:rsidR="00414EF2" w:rsidRPr="00F64683" w:rsidRDefault="00414EF2" w:rsidP="001222A6">
      <w:pPr>
        <w:pStyle w:val="PargrafodaLista"/>
        <w:numPr>
          <w:ilvl w:val="2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F64683">
        <w:rPr>
          <w:rFonts w:ascii="Century Gothic" w:hAnsi="Century Gothic"/>
          <w:sz w:val="22"/>
          <w:szCs w:val="22"/>
        </w:rPr>
        <w:t xml:space="preserve">A quantidade total de </w:t>
      </w:r>
      <w:proofErr w:type="spellStart"/>
      <w:r w:rsidRPr="00F64683">
        <w:rPr>
          <w:rFonts w:ascii="Century Gothic" w:hAnsi="Century Gothic"/>
          <w:sz w:val="22"/>
          <w:szCs w:val="22"/>
        </w:rPr>
        <w:t>USTs</w:t>
      </w:r>
      <w:proofErr w:type="spellEnd"/>
      <w:r w:rsidRPr="00F64683">
        <w:rPr>
          <w:rFonts w:ascii="Century Gothic" w:hAnsi="Century Gothic"/>
          <w:sz w:val="22"/>
          <w:szCs w:val="22"/>
        </w:rPr>
        <w:t xml:space="preserve"> descrita nas tabelas estão acobertadas pelo valor global estimado do Contrato. Ainda que prevista prorrogação da vigência do contrato, o quantitativo de </w:t>
      </w:r>
      <w:proofErr w:type="spellStart"/>
      <w:r w:rsidRPr="00F64683">
        <w:rPr>
          <w:rFonts w:ascii="Century Gothic" w:hAnsi="Century Gothic"/>
          <w:sz w:val="22"/>
          <w:szCs w:val="22"/>
        </w:rPr>
        <w:t>USTs</w:t>
      </w:r>
      <w:proofErr w:type="spellEnd"/>
      <w:r w:rsidRPr="00F64683">
        <w:rPr>
          <w:rFonts w:ascii="Century Gothic" w:hAnsi="Century Gothic"/>
          <w:sz w:val="22"/>
          <w:szCs w:val="22"/>
        </w:rPr>
        <w:t xml:space="preserve"> não é duplicado no segundo ano do contrato.  Ou seja, o quantitativo de </w:t>
      </w:r>
      <w:proofErr w:type="spellStart"/>
      <w:r w:rsidRPr="00F64683">
        <w:rPr>
          <w:rFonts w:ascii="Century Gothic" w:hAnsi="Century Gothic"/>
          <w:sz w:val="22"/>
          <w:szCs w:val="22"/>
        </w:rPr>
        <w:t>USTs</w:t>
      </w:r>
      <w:proofErr w:type="spellEnd"/>
      <w:r w:rsidRPr="00F64683">
        <w:rPr>
          <w:rFonts w:ascii="Century Gothic" w:hAnsi="Century Gothic"/>
          <w:sz w:val="22"/>
          <w:szCs w:val="22"/>
        </w:rPr>
        <w:t xml:space="preserve"> global deve ser estimado para ser executado no prazo total do contrato, com suas prorrogações;</w:t>
      </w:r>
    </w:p>
    <w:p w:rsidR="005A3320" w:rsidRPr="00C76562" w:rsidRDefault="005A3320" w:rsidP="005A3320">
      <w:pPr>
        <w:pStyle w:val="PargrafodaLista"/>
        <w:spacing w:after="120" w:line="276" w:lineRule="auto"/>
        <w:ind w:left="0"/>
        <w:jc w:val="both"/>
        <w:rPr>
          <w:rFonts w:ascii="Century Gothic" w:hAnsi="Century Gothic"/>
          <w:b/>
          <w:sz w:val="22"/>
          <w:szCs w:val="22"/>
        </w:rPr>
      </w:pPr>
    </w:p>
    <w:p w:rsidR="005A3320" w:rsidRPr="00C76562" w:rsidRDefault="005A3320" w:rsidP="001222A6">
      <w:pPr>
        <w:pStyle w:val="PargrafodaLista"/>
        <w:numPr>
          <w:ilvl w:val="0"/>
          <w:numId w:val="23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t>ATIVIDADES TIPO DEMANDA E / OU TIPO INCIDENTE</w:t>
      </w:r>
    </w:p>
    <w:p w:rsidR="0020502D" w:rsidRPr="00F64683" w:rsidRDefault="005A3320" w:rsidP="001222A6">
      <w:pPr>
        <w:pStyle w:val="PargrafodaLista"/>
        <w:numPr>
          <w:ilvl w:val="1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F64683">
        <w:rPr>
          <w:rFonts w:ascii="Century Gothic" w:hAnsi="Century Gothic"/>
          <w:sz w:val="22"/>
          <w:szCs w:val="22"/>
        </w:rPr>
        <w:t xml:space="preserve">Para as atividades do tipo “DEMANDA” e tipo “INCIDENTE”, deverá ser levado em consideração as “Tabelas </w:t>
      </w:r>
      <w:r w:rsidR="0020502D" w:rsidRPr="00F64683">
        <w:rPr>
          <w:rFonts w:ascii="Century Gothic" w:hAnsi="Century Gothic"/>
          <w:sz w:val="22"/>
          <w:szCs w:val="22"/>
        </w:rPr>
        <w:t>4</w:t>
      </w:r>
      <w:r w:rsidRPr="00F64683">
        <w:rPr>
          <w:rFonts w:ascii="Century Gothic" w:hAnsi="Century Gothic"/>
          <w:sz w:val="22"/>
          <w:szCs w:val="22"/>
        </w:rPr>
        <w:t xml:space="preserve"> e </w:t>
      </w:r>
      <w:r w:rsidR="0020502D" w:rsidRPr="00F64683">
        <w:rPr>
          <w:rFonts w:ascii="Century Gothic" w:hAnsi="Century Gothic"/>
          <w:sz w:val="22"/>
          <w:szCs w:val="22"/>
        </w:rPr>
        <w:t>5</w:t>
      </w:r>
      <w:r w:rsidRPr="00F64683">
        <w:rPr>
          <w:rFonts w:ascii="Century Gothic" w:hAnsi="Century Gothic"/>
          <w:sz w:val="22"/>
          <w:szCs w:val="22"/>
        </w:rPr>
        <w:t>”;</w:t>
      </w:r>
    </w:p>
    <w:p w:rsidR="0020502D" w:rsidRPr="00C76562" w:rsidRDefault="0020502D" w:rsidP="0020502D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Tabela 4 – Prazos para início do atendimento das atividades do tipo demanda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1854"/>
        <w:gridCol w:w="4040"/>
      </w:tblGrid>
      <w:tr w:rsidR="0020502D" w:rsidRPr="00C76562" w:rsidTr="00621328">
        <w:tc>
          <w:tcPr>
            <w:tcW w:w="5000" w:type="pct"/>
            <w:gridSpan w:val="3"/>
            <w:shd w:val="clear" w:color="auto" w:fill="BFBFBF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C76562">
              <w:rPr>
                <w:rFonts w:ascii="Century Gothic" w:eastAsia="Batang" w:hAnsi="Century Gothic"/>
                <w:b/>
                <w:szCs w:val="22"/>
              </w:rPr>
              <w:t>Atividade do tipo Demanda</w:t>
            </w:r>
          </w:p>
        </w:tc>
      </w:tr>
      <w:tr w:rsidR="0020502D" w:rsidRPr="00C76562" w:rsidTr="00621328">
        <w:tc>
          <w:tcPr>
            <w:tcW w:w="1939" w:type="pct"/>
            <w:shd w:val="clear" w:color="auto" w:fill="BFBFBF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C76562">
              <w:rPr>
                <w:rFonts w:ascii="Century Gothic" w:eastAsia="Batang" w:hAnsi="Century Gothic"/>
                <w:b/>
                <w:szCs w:val="22"/>
              </w:rPr>
              <w:t>Área de atividade</w:t>
            </w:r>
          </w:p>
        </w:tc>
        <w:tc>
          <w:tcPr>
            <w:tcW w:w="963" w:type="pct"/>
            <w:shd w:val="clear" w:color="auto" w:fill="BFBFBF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C76562">
              <w:rPr>
                <w:rFonts w:ascii="Century Gothic" w:eastAsia="Batang" w:hAnsi="Century Gothic"/>
                <w:b/>
                <w:szCs w:val="22"/>
              </w:rPr>
              <w:t>Complexidade</w:t>
            </w:r>
          </w:p>
        </w:tc>
        <w:tc>
          <w:tcPr>
            <w:tcW w:w="2098" w:type="pct"/>
            <w:shd w:val="clear" w:color="auto" w:fill="BFBFBF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C76562">
              <w:rPr>
                <w:rFonts w:ascii="Century Gothic" w:eastAsia="Batang" w:hAnsi="Century Gothic"/>
                <w:b/>
                <w:szCs w:val="22"/>
              </w:rPr>
              <w:t>Tempo para início da execução</w:t>
            </w:r>
          </w:p>
        </w:tc>
      </w:tr>
      <w:tr w:rsidR="0020502D" w:rsidRPr="00C76562" w:rsidTr="00621328">
        <w:tc>
          <w:tcPr>
            <w:tcW w:w="1939" w:type="pct"/>
            <w:vMerge w:val="restart"/>
            <w:shd w:val="clear" w:color="auto" w:fill="auto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ind w:left="851" w:hanging="851"/>
              <w:jc w:val="center"/>
              <w:rPr>
                <w:rFonts w:ascii="Century Gothic" w:eastAsia="Batang" w:hAnsi="Century Gothic"/>
                <w:szCs w:val="22"/>
              </w:rPr>
            </w:pPr>
            <w:r w:rsidRPr="00C76562">
              <w:rPr>
                <w:rFonts w:ascii="Century Gothic" w:eastAsia="Batang" w:hAnsi="Century Gothic"/>
                <w:szCs w:val="22"/>
              </w:rPr>
              <w:t>Atividades tipo Demanda</w:t>
            </w:r>
          </w:p>
        </w:tc>
        <w:tc>
          <w:tcPr>
            <w:tcW w:w="963" w:type="pct"/>
            <w:shd w:val="clear" w:color="auto" w:fill="auto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ind w:left="851" w:hanging="851"/>
              <w:jc w:val="center"/>
              <w:rPr>
                <w:rFonts w:ascii="Century Gothic" w:eastAsia="Batang" w:hAnsi="Century Gothic"/>
                <w:szCs w:val="22"/>
              </w:rPr>
            </w:pPr>
            <w:r w:rsidRPr="00C76562">
              <w:rPr>
                <w:rFonts w:ascii="Century Gothic" w:eastAsia="Batang" w:hAnsi="Century Gothic"/>
                <w:szCs w:val="22"/>
              </w:rPr>
              <w:t>Baixa</w:t>
            </w:r>
          </w:p>
        </w:tc>
        <w:tc>
          <w:tcPr>
            <w:tcW w:w="2098" w:type="pct"/>
            <w:vMerge w:val="restart"/>
            <w:shd w:val="clear" w:color="auto" w:fill="auto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ind w:left="851" w:hanging="851"/>
              <w:jc w:val="center"/>
              <w:rPr>
                <w:rFonts w:ascii="Century Gothic" w:eastAsia="Batang" w:hAnsi="Century Gothic"/>
                <w:szCs w:val="22"/>
              </w:rPr>
            </w:pPr>
            <w:r w:rsidRPr="00C76562">
              <w:rPr>
                <w:rFonts w:ascii="Century Gothic" w:eastAsia="Batang" w:hAnsi="Century Gothic"/>
                <w:szCs w:val="22"/>
              </w:rPr>
              <w:t>Agendamento com até 48 horas</w:t>
            </w:r>
          </w:p>
        </w:tc>
      </w:tr>
      <w:tr w:rsidR="0020502D" w:rsidRPr="00C76562" w:rsidTr="00621328">
        <w:tc>
          <w:tcPr>
            <w:tcW w:w="1939" w:type="pct"/>
            <w:vMerge/>
            <w:shd w:val="clear" w:color="auto" w:fill="auto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rPr>
                <w:rFonts w:ascii="Century Gothic" w:eastAsia="Batang" w:hAnsi="Century Gothic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ind w:left="851" w:hanging="851"/>
              <w:jc w:val="center"/>
              <w:rPr>
                <w:rFonts w:ascii="Century Gothic" w:eastAsia="Batang" w:hAnsi="Century Gothic"/>
                <w:szCs w:val="22"/>
              </w:rPr>
            </w:pPr>
            <w:r w:rsidRPr="00C76562">
              <w:rPr>
                <w:rFonts w:ascii="Century Gothic" w:eastAsia="Batang" w:hAnsi="Century Gothic"/>
                <w:szCs w:val="22"/>
              </w:rPr>
              <w:t>Média</w:t>
            </w:r>
          </w:p>
        </w:tc>
        <w:tc>
          <w:tcPr>
            <w:tcW w:w="2098" w:type="pct"/>
            <w:vMerge/>
            <w:shd w:val="clear" w:color="auto" w:fill="auto"/>
          </w:tcPr>
          <w:p w:rsidR="0020502D" w:rsidRPr="00C76562" w:rsidRDefault="0020502D" w:rsidP="00B1025F">
            <w:pPr>
              <w:pStyle w:val="Edital-Nvel3"/>
              <w:numPr>
                <w:ilvl w:val="2"/>
                <w:numId w:val="7"/>
              </w:numPr>
              <w:ind w:left="851" w:hanging="851"/>
              <w:rPr>
                <w:rFonts w:ascii="Century Gothic" w:eastAsia="Batang" w:hAnsi="Century Gothic"/>
                <w:szCs w:val="22"/>
              </w:rPr>
            </w:pPr>
          </w:p>
        </w:tc>
      </w:tr>
      <w:tr w:rsidR="0020502D" w:rsidRPr="00C76562" w:rsidTr="00621328">
        <w:tc>
          <w:tcPr>
            <w:tcW w:w="1939" w:type="pct"/>
            <w:vMerge/>
            <w:shd w:val="clear" w:color="auto" w:fill="auto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rPr>
                <w:rFonts w:ascii="Century Gothic" w:eastAsia="Batang" w:hAnsi="Century Gothic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ind w:left="851" w:hanging="851"/>
              <w:jc w:val="center"/>
              <w:rPr>
                <w:rFonts w:ascii="Century Gothic" w:eastAsia="Batang" w:hAnsi="Century Gothic"/>
                <w:szCs w:val="22"/>
              </w:rPr>
            </w:pPr>
            <w:r w:rsidRPr="00C76562">
              <w:rPr>
                <w:rFonts w:ascii="Century Gothic" w:eastAsia="Batang" w:hAnsi="Century Gothic"/>
                <w:szCs w:val="22"/>
              </w:rPr>
              <w:t>Alta</w:t>
            </w:r>
          </w:p>
        </w:tc>
        <w:tc>
          <w:tcPr>
            <w:tcW w:w="2098" w:type="pct"/>
            <w:vMerge/>
            <w:shd w:val="clear" w:color="auto" w:fill="auto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ind w:left="851" w:hanging="851"/>
              <w:rPr>
                <w:rFonts w:ascii="Century Gothic" w:eastAsia="Batang" w:hAnsi="Century Gothic"/>
                <w:szCs w:val="22"/>
              </w:rPr>
            </w:pPr>
          </w:p>
        </w:tc>
      </w:tr>
    </w:tbl>
    <w:p w:rsidR="0020502D" w:rsidRPr="00C76562" w:rsidRDefault="0020502D" w:rsidP="0020502D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20502D" w:rsidRPr="00C76562" w:rsidRDefault="0020502D" w:rsidP="0020502D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Tabela 5 – Prazos para início do atendimento das atividades do tipo incidente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3545"/>
        <w:gridCol w:w="2354"/>
        <w:gridCol w:w="2329"/>
      </w:tblGrid>
      <w:tr w:rsidR="0020502D" w:rsidRPr="00C76562" w:rsidTr="00621328">
        <w:tc>
          <w:tcPr>
            <w:tcW w:w="5000" w:type="pct"/>
            <w:gridSpan w:val="4"/>
            <w:shd w:val="clear" w:color="auto" w:fill="BFBFBF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C76562">
              <w:rPr>
                <w:rFonts w:ascii="Century Gothic" w:eastAsia="Batang" w:hAnsi="Century Gothic"/>
                <w:b/>
                <w:szCs w:val="22"/>
              </w:rPr>
              <w:t>Atividade do tipo Incidente</w:t>
            </w:r>
          </w:p>
        </w:tc>
      </w:tr>
      <w:tr w:rsidR="0020502D" w:rsidRPr="00C76562" w:rsidTr="00621328">
        <w:tc>
          <w:tcPr>
            <w:tcW w:w="722" w:type="pct"/>
            <w:shd w:val="clear" w:color="auto" w:fill="BFBFBF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C76562">
              <w:rPr>
                <w:rFonts w:ascii="Century Gothic" w:eastAsia="Batang" w:hAnsi="Century Gothic"/>
                <w:b/>
                <w:szCs w:val="22"/>
              </w:rPr>
              <w:t>Criticidade</w:t>
            </w:r>
          </w:p>
        </w:tc>
        <w:tc>
          <w:tcPr>
            <w:tcW w:w="1843" w:type="pct"/>
            <w:shd w:val="clear" w:color="auto" w:fill="BFBFBF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C76562">
              <w:rPr>
                <w:rFonts w:ascii="Century Gothic" w:eastAsia="Batang" w:hAnsi="Century Gothic"/>
                <w:b/>
                <w:szCs w:val="22"/>
              </w:rPr>
              <w:t>Característica</w:t>
            </w:r>
          </w:p>
        </w:tc>
        <w:tc>
          <w:tcPr>
            <w:tcW w:w="1224" w:type="pct"/>
            <w:shd w:val="clear" w:color="auto" w:fill="BFBFBF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C76562">
              <w:rPr>
                <w:rFonts w:ascii="Century Gothic" w:eastAsia="Batang" w:hAnsi="Century Gothic"/>
                <w:b/>
                <w:szCs w:val="22"/>
              </w:rPr>
              <w:t>Remoto</w:t>
            </w:r>
          </w:p>
        </w:tc>
        <w:tc>
          <w:tcPr>
            <w:tcW w:w="1211" w:type="pct"/>
            <w:shd w:val="clear" w:color="auto" w:fill="BFBFBF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C76562">
              <w:rPr>
                <w:rFonts w:ascii="Century Gothic" w:eastAsia="Batang" w:hAnsi="Century Gothic"/>
                <w:b/>
                <w:szCs w:val="22"/>
              </w:rPr>
              <w:t>Presencial</w:t>
            </w:r>
          </w:p>
        </w:tc>
      </w:tr>
      <w:tr w:rsidR="0020502D" w:rsidRPr="00C76562" w:rsidTr="00621328">
        <w:tc>
          <w:tcPr>
            <w:tcW w:w="722" w:type="pct"/>
            <w:shd w:val="clear" w:color="auto" w:fill="auto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ind w:left="851" w:hanging="851"/>
              <w:jc w:val="left"/>
              <w:rPr>
                <w:rFonts w:ascii="Century Gothic" w:eastAsia="Batang" w:hAnsi="Century Gothic"/>
                <w:szCs w:val="22"/>
              </w:rPr>
            </w:pPr>
            <w:r w:rsidRPr="00C76562">
              <w:rPr>
                <w:rFonts w:ascii="Century Gothic" w:eastAsia="Batang" w:hAnsi="Century Gothic"/>
                <w:szCs w:val="22"/>
              </w:rPr>
              <w:t>Alta</w:t>
            </w:r>
          </w:p>
        </w:tc>
        <w:tc>
          <w:tcPr>
            <w:tcW w:w="1843" w:type="pct"/>
            <w:shd w:val="clear" w:color="auto" w:fill="auto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rPr>
                <w:rFonts w:ascii="Century Gothic" w:eastAsia="Batang" w:hAnsi="Century Gothic"/>
                <w:szCs w:val="22"/>
              </w:rPr>
            </w:pPr>
            <w:r w:rsidRPr="00C76562">
              <w:rPr>
                <w:rFonts w:ascii="Century Gothic" w:eastAsia="Batang" w:hAnsi="Century Gothic"/>
                <w:szCs w:val="22"/>
              </w:rPr>
              <w:t xml:space="preserve">Incidente com paralisação do sistema e comprometimento grave de dados, </w:t>
            </w:r>
            <w:proofErr w:type="spellStart"/>
            <w:r w:rsidRPr="00C76562">
              <w:rPr>
                <w:rFonts w:ascii="Century Gothic" w:eastAsia="Batang" w:hAnsi="Century Gothic"/>
                <w:szCs w:val="22"/>
              </w:rPr>
              <w:t>processo</w:t>
            </w:r>
            <w:proofErr w:type="spellEnd"/>
            <w:r w:rsidRPr="00C76562">
              <w:rPr>
                <w:rFonts w:ascii="Century Gothic" w:eastAsia="Batang" w:hAnsi="Century Gothic"/>
                <w:szCs w:val="22"/>
              </w:rPr>
              <w:t xml:space="preserve"> ou ambiente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  <w:r w:rsidRPr="00C76562">
              <w:rPr>
                <w:rFonts w:ascii="Century Gothic" w:eastAsia="Batang" w:hAnsi="Century Gothic"/>
                <w:szCs w:val="22"/>
              </w:rPr>
              <w:t>Em até 1 (uma) hora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  <w:r w:rsidRPr="00C76562">
              <w:rPr>
                <w:rFonts w:ascii="Century Gothic" w:eastAsia="Batang" w:hAnsi="Century Gothic"/>
                <w:szCs w:val="22"/>
              </w:rPr>
              <w:t xml:space="preserve">Em até 4 </w:t>
            </w:r>
            <w:r w:rsidRPr="00C76562">
              <w:rPr>
                <w:rFonts w:ascii="Century Gothic" w:eastAsia="Batang" w:hAnsi="Century Gothic"/>
                <w:szCs w:val="22"/>
              </w:rPr>
              <w:br/>
              <w:t>(quatro) horas</w:t>
            </w:r>
          </w:p>
        </w:tc>
      </w:tr>
      <w:tr w:rsidR="0020502D" w:rsidRPr="00C76562" w:rsidTr="00621328">
        <w:tc>
          <w:tcPr>
            <w:tcW w:w="722" w:type="pct"/>
            <w:shd w:val="clear" w:color="auto" w:fill="auto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ind w:left="851" w:hanging="851"/>
              <w:jc w:val="left"/>
              <w:rPr>
                <w:rFonts w:ascii="Century Gothic" w:eastAsia="Batang" w:hAnsi="Century Gothic"/>
                <w:szCs w:val="22"/>
              </w:rPr>
            </w:pPr>
            <w:r w:rsidRPr="00C76562">
              <w:rPr>
                <w:rFonts w:ascii="Century Gothic" w:eastAsia="Batang" w:hAnsi="Century Gothic"/>
                <w:szCs w:val="22"/>
              </w:rPr>
              <w:t>Média</w:t>
            </w:r>
          </w:p>
        </w:tc>
        <w:tc>
          <w:tcPr>
            <w:tcW w:w="1843" w:type="pct"/>
            <w:shd w:val="clear" w:color="auto" w:fill="auto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rPr>
                <w:rFonts w:ascii="Century Gothic" w:eastAsia="Batang" w:hAnsi="Century Gothic"/>
                <w:szCs w:val="22"/>
              </w:rPr>
            </w:pPr>
            <w:r w:rsidRPr="00C76562">
              <w:rPr>
                <w:rFonts w:ascii="Century Gothic" w:eastAsia="Batang" w:hAnsi="Century Gothic"/>
                <w:szCs w:val="22"/>
              </w:rPr>
              <w:t xml:space="preserve">Incidente com paralisação do sistema, porém, sem comprometimento de dados, </w:t>
            </w:r>
            <w:proofErr w:type="spellStart"/>
            <w:r w:rsidRPr="00C76562">
              <w:rPr>
                <w:rFonts w:ascii="Century Gothic" w:eastAsia="Batang" w:hAnsi="Century Gothic"/>
                <w:szCs w:val="22"/>
              </w:rPr>
              <w:t>processo</w:t>
            </w:r>
            <w:proofErr w:type="spellEnd"/>
            <w:r w:rsidRPr="00C76562">
              <w:rPr>
                <w:rFonts w:ascii="Century Gothic" w:eastAsia="Batang" w:hAnsi="Century Gothic"/>
                <w:szCs w:val="22"/>
              </w:rPr>
              <w:t xml:space="preserve"> ou ambiente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  <w:r w:rsidRPr="00C76562">
              <w:rPr>
                <w:rFonts w:ascii="Century Gothic" w:eastAsia="Batang" w:hAnsi="Century Gothic"/>
                <w:szCs w:val="22"/>
              </w:rPr>
              <w:t>Em até 2 (duas) horas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  <w:r w:rsidRPr="00C76562">
              <w:rPr>
                <w:rFonts w:ascii="Century Gothic" w:eastAsia="Batang" w:hAnsi="Century Gothic"/>
                <w:szCs w:val="22"/>
              </w:rPr>
              <w:t>Em até 6 (seis) horas</w:t>
            </w:r>
          </w:p>
        </w:tc>
      </w:tr>
      <w:tr w:rsidR="0020502D" w:rsidRPr="00C76562" w:rsidTr="00621328">
        <w:tc>
          <w:tcPr>
            <w:tcW w:w="722" w:type="pct"/>
            <w:shd w:val="clear" w:color="auto" w:fill="auto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ind w:left="851" w:hanging="851"/>
              <w:jc w:val="left"/>
              <w:rPr>
                <w:rFonts w:ascii="Century Gothic" w:eastAsia="Batang" w:hAnsi="Century Gothic"/>
                <w:szCs w:val="22"/>
              </w:rPr>
            </w:pPr>
            <w:r w:rsidRPr="00C76562">
              <w:rPr>
                <w:rFonts w:ascii="Century Gothic" w:eastAsia="Batang" w:hAnsi="Century Gothic"/>
                <w:szCs w:val="22"/>
              </w:rPr>
              <w:t>Baixa</w:t>
            </w:r>
          </w:p>
        </w:tc>
        <w:tc>
          <w:tcPr>
            <w:tcW w:w="1843" w:type="pct"/>
            <w:shd w:val="clear" w:color="auto" w:fill="auto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rPr>
                <w:rFonts w:ascii="Century Gothic" w:eastAsia="Batang" w:hAnsi="Century Gothic"/>
                <w:szCs w:val="22"/>
              </w:rPr>
            </w:pPr>
            <w:r w:rsidRPr="00C76562">
              <w:rPr>
                <w:rFonts w:ascii="Century Gothic" w:eastAsia="Batang" w:hAnsi="Century Gothic"/>
                <w:szCs w:val="22"/>
              </w:rPr>
              <w:t>Incidente sem paralização do a</w:t>
            </w:r>
          </w:p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rPr>
                <w:rFonts w:ascii="Century Gothic" w:eastAsia="Batang" w:hAnsi="Century Gothic"/>
                <w:szCs w:val="22"/>
              </w:rPr>
            </w:pPr>
            <w:proofErr w:type="gramStart"/>
            <w:r w:rsidRPr="00C76562">
              <w:rPr>
                <w:rFonts w:ascii="Century Gothic" w:eastAsia="Batang" w:hAnsi="Century Gothic"/>
                <w:szCs w:val="22"/>
              </w:rPr>
              <w:t>sistema</w:t>
            </w:r>
            <w:proofErr w:type="gramEnd"/>
            <w:r w:rsidRPr="00C76562">
              <w:rPr>
                <w:rFonts w:ascii="Century Gothic" w:eastAsia="Batang" w:hAnsi="Century Gothic"/>
                <w:szCs w:val="22"/>
              </w:rPr>
              <w:t xml:space="preserve"> e sem comprometimento de dados, </w:t>
            </w:r>
            <w:proofErr w:type="spellStart"/>
            <w:r w:rsidRPr="00C76562">
              <w:rPr>
                <w:rFonts w:ascii="Century Gothic" w:eastAsia="Batang" w:hAnsi="Century Gothic"/>
                <w:szCs w:val="22"/>
              </w:rPr>
              <w:t>processo</w:t>
            </w:r>
            <w:proofErr w:type="spellEnd"/>
            <w:r w:rsidRPr="00C76562">
              <w:rPr>
                <w:rFonts w:ascii="Century Gothic" w:eastAsia="Batang" w:hAnsi="Century Gothic"/>
                <w:szCs w:val="22"/>
              </w:rPr>
              <w:t xml:space="preserve"> ou ambiente.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  <w:r w:rsidRPr="00C76562">
              <w:rPr>
                <w:rFonts w:ascii="Century Gothic" w:eastAsia="Batang" w:hAnsi="Century Gothic"/>
                <w:szCs w:val="22"/>
              </w:rPr>
              <w:t xml:space="preserve">Em até 4 </w:t>
            </w:r>
            <w:r w:rsidRPr="00C76562">
              <w:rPr>
                <w:rFonts w:ascii="Century Gothic" w:eastAsia="Batang" w:hAnsi="Century Gothic"/>
                <w:szCs w:val="22"/>
              </w:rPr>
              <w:br/>
              <w:t>(quatro) horas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20502D" w:rsidRPr="00C76562" w:rsidRDefault="0020502D" w:rsidP="00621328">
            <w:pPr>
              <w:pStyle w:val="Edital-Nvel3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  <w:r w:rsidRPr="00C76562">
              <w:rPr>
                <w:rFonts w:ascii="Century Gothic" w:eastAsia="Batang" w:hAnsi="Century Gothic"/>
                <w:szCs w:val="22"/>
              </w:rPr>
              <w:t>Em até 8 (oito) horas</w:t>
            </w:r>
          </w:p>
        </w:tc>
      </w:tr>
    </w:tbl>
    <w:p w:rsidR="0020502D" w:rsidRPr="00C76562" w:rsidRDefault="0020502D" w:rsidP="0020502D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20502D" w:rsidRPr="00C76562" w:rsidRDefault="00414EF2" w:rsidP="001222A6">
      <w:pPr>
        <w:pStyle w:val="PargrafodaLista"/>
        <w:numPr>
          <w:ilvl w:val="1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O tempo é contado a partir do primeiro contato com a CONTRATADA. Os prazos determinados para o início do atendimento técnico, sendo remoto ou no insucesso desse, presencial, deverão atender a tabela 5 (considerar horas uteis).</w:t>
      </w:r>
    </w:p>
    <w:p w:rsidR="0020502D" w:rsidRPr="00C76562" w:rsidRDefault="00414EF2" w:rsidP="001222A6">
      <w:pPr>
        <w:pStyle w:val="PargrafodaLista"/>
        <w:numPr>
          <w:ilvl w:val="1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Nos casos onde a intervenção remota não for efetiva, a licitante deverá deslocar para o PRODEST um técnico com o perfil necessário solicitado para atender ao problema dentro do prazo definido na Tabela 5 – atendimento presencial.</w:t>
      </w:r>
    </w:p>
    <w:p w:rsidR="0020502D" w:rsidRPr="00C76562" w:rsidRDefault="0020502D" w:rsidP="0020502D">
      <w:pPr>
        <w:pStyle w:val="PargrafodaLista"/>
        <w:spacing w:after="120" w:line="276" w:lineRule="auto"/>
        <w:ind w:left="0"/>
        <w:jc w:val="both"/>
        <w:rPr>
          <w:rFonts w:ascii="Century Gothic" w:hAnsi="Century Gothic"/>
          <w:sz w:val="22"/>
          <w:szCs w:val="22"/>
        </w:rPr>
      </w:pPr>
    </w:p>
    <w:p w:rsidR="0020502D" w:rsidRPr="00C76562" w:rsidRDefault="0020502D" w:rsidP="001222A6">
      <w:pPr>
        <w:pStyle w:val="PargrafodaLista"/>
        <w:numPr>
          <w:ilvl w:val="0"/>
          <w:numId w:val="23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C76562">
        <w:rPr>
          <w:rFonts w:ascii="Century Gothic" w:hAnsi="Century Gothic"/>
          <w:b/>
          <w:sz w:val="22"/>
          <w:szCs w:val="22"/>
        </w:rPr>
        <w:t>CONDIÇÕES GERAIS</w:t>
      </w:r>
    </w:p>
    <w:p w:rsidR="00414EF2" w:rsidRPr="00C76562" w:rsidRDefault="00414EF2" w:rsidP="00311516">
      <w:pPr>
        <w:pStyle w:val="PargrafodaLista"/>
        <w:spacing w:after="120" w:line="276" w:lineRule="auto"/>
        <w:ind w:left="720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As condições gerais que envolvem a execução do objeto seguem descritas:</w:t>
      </w:r>
    </w:p>
    <w:p w:rsidR="00414EF2" w:rsidRPr="00C76562" w:rsidRDefault="00414EF2" w:rsidP="001222A6">
      <w:pPr>
        <w:pStyle w:val="PargrafodaLista"/>
        <w:numPr>
          <w:ilvl w:val="1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Para apropriação das atividades e prazos de atendimento deverá ser considerado como horário comercial pela hora de Brasília o período das 8:30h às 18:00h de segunda à sexta-feira, exceto feriados;</w:t>
      </w:r>
    </w:p>
    <w:p w:rsidR="00414EF2" w:rsidRPr="00C76562" w:rsidRDefault="00414EF2" w:rsidP="001222A6">
      <w:pPr>
        <w:pStyle w:val="PargrafodaLista"/>
        <w:numPr>
          <w:ilvl w:val="1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A abertura dos chamados para atendimento técnico deverá ser feita via telefone ou e-mail, além de sistema de Help Desk via Internet com interface WEB. O sistema WEB de Help Desk, deverá permitir o controle, por parte do PRODEST, de todos os chamados e atendimentos realizados, em aberto ou fechados, além de permitir a emissão de relatórios estatísticos que mostrem o tipo de atendimento e quantidade de horas demandadas.</w:t>
      </w:r>
    </w:p>
    <w:p w:rsidR="0020502D" w:rsidRPr="00C76562" w:rsidRDefault="00414EF2" w:rsidP="001222A6">
      <w:pPr>
        <w:pStyle w:val="PargrafodaLista"/>
        <w:numPr>
          <w:ilvl w:val="1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O licitante vencedor deverá dispor de infraestrutura capaz de suportar atendimento remoto e local no PRODEST.</w:t>
      </w:r>
    </w:p>
    <w:p w:rsidR="0020502D" w:rsidRPr="00C76562" w:rsidRDefault="00414EF2" w:rsidP="001222A6">
      <w:pPr>
        <w:pStyle w:val="PargrafodaLista"/>
        <w:numPr>
          <w:ilvl w:val="1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Todos os serviços deverão ser desenvolvidos por técnicos e consultores capacitados e certificados, nos termos do item “Habilitação Técnica”.</w:t>
      </w:r>
    </w:p>
    <w:p w:rsidR="0020502D" w:rsidRPr="00C76562" w:rsidRDefault="00414EF2" w:rsidP="001222A6">
      <w:pPr>
        <w:pStyle w:val="PargrafodaLista"/>
        <w:numPr>
          <w:ilvl w:val="1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lastRenderedPageBreak/>
        <w:t>A CONTRATADA deverá se responsabilizar em comunicar ao PRODEST sempre que houver novas atualizações de firmware, patches ou correções de bugs nos equipamentos e softwares listados no Contrato, bem como as vantagens e os riscos da execução do referido upgrade antes de proceder a referida atualização e/ou correção, ficando a critério da CONTRATANTE efetuar ou não as atualizações propostas.</w:t>
      </w:r>
    </w:p>
    <w:p w:rsidR="0020502D" w:rsidRPr="00C76562" w:rsidRDefault="00414EF2" w:rsidP="001222A6">
      <w:pPr>
        <w:pStyle w:val="PargrafodaLista"/>
        <w:numPr>
          <w:ilvl w:val="1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Caso o número telefônico a ser utilizado nas aberturas e acompanhamento dos chamados não seja uma chamada local para a cidade de Vitória/ES, a CONTRATADA deverá dispor de um número 0800. O encerramento do chamado será efetuado pelo PRODEST quando da conclusão dos serviços.</w:t>
      </w:r>
    </w:p>
    <w:p w:rsidR="0020502D" w:rsidRPr="00C76562" w:rsidRDefault="00414EF2" w:rsidP="001222A6">
      <w:pPr>
        <w:pStyle w:val="PargrafodaLista"/>
        <w:numPr>
          <w:ilvl w:val="1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As horas técnicas locais deverão ser contadas a partir da chegada do técnico ao PRODEST e o efetivo início dos trabalhos, não sendo contabilizadas: preenchimento de relatório, trabalhos externos ao PRODEST, deslocamentos, almoço, lanche ou qualquer outro procedimento não relacionado diretamente aos serviços.</w:t>
      </w:r>
    </w:p>
    <w:p w:rsidR="0020502D" w:rsidRPr="00C76562" w:rsidRDefault="00414EF2" w:rsidP="001222A6">
      <w:pPr>
        <w:pStyle w:val="PargrafodaLista"/>
        <w:numPr>
          <w:ilvl w:val="1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Para os atendimentos locais atendidos por técnicos da licitante lotados fora do Estado Espírito Santo e com tempo de solução inferior a 8 (oito) horas, a licitante poderá considerar, para efeito de apropriação, o quantitativo de 8 (oito) horas.  </w:t>
      </w:r>
    </w:p>
    <w:p w:rsidR="0020502D" w:rsidRPr="00C76562" w:rsidRDefault="00414EF2" w:rsidP="001222A6">
      <w:pPr>
        <w:pStyle w:val="PargrafodaLista"/>
        <w:numPr>
          <w:ilvl w:val="1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A CONTRATADA deverá se comprometer em manter registros escritos dos referidos chamados constando o nome do técnico responsável pelo atendimento e uma descrição resumida do problema.</w:t>
      </w:r>
    </w:p>
    <w:p w:rsidR="00414EF2" w:rsidRPr="00C76562" w:rsidRDefault="00414EF2" w:rsidP="001222A6">
      <w:pPr>
        <w:pStyle w:val="PargrafodaLista"/>
        <w:numPr>
          <w:ilvl w:val="1"/>
          <w:numId w:val="2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Para todo atendimento deverá ser feito um relatório detalhado, que será disponibilizado ao PRODEST, no qual conste, no mínimo:</w:t>
      </w:r>
    </w:p>
    <w:p w:rsidR="00414EF2" w:rsidRPr="00C76562" w:rsidRDefault="00414EF2" w:rsidP="00B1025F">
      <w:pPr>
        <w:pStyle w:val="PargrafodaLista"/>
        <w:numPr>
          <w:ilvl w:val="0"/>
          <w:numId w:val="1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Data e hora do dia do atendimento;</w:t>
      </w:r>
    </w:p>
    <w:p w:rsidR="00414EF2" w:rsidRPr="00C76562" w:rsidRDefault="00414EF2" w:rsidP="00B1025F">
      <w:pPr>
        <w:pStyle w:val="PargrafodaLista"/>
        <w:numPr>
          <w:ilvl w:val="0"/>
          <w:numId w:val="1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Nomes dos responsáveis pelo chamado, pelo atendimento e pela comprovação do restabelecimento de funcionamento, com assinaturas dos dois últimos;</w:t>
      </w:r>
    </w:p>
    <w:p w:rsidR="00414EF2" w:rsidRPr="00C76562" w:rsidRDefault="00414EF2" w:rsidP="00B1025F">
      <w:pPr>
        <w:pStyle w:val="PargrafodaLista"/>
        <w:numPr>
          <w:ilvl w:val="0"/>
          <w:numId w:val="1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 xml:space="preserve">Descrição </w:t>
      </w:r>
      <w:proofErr w:type="gramStart"/>
      <w:r w:rsidRPr="00C76562">
        <w:rPr>
          <w:rFonts w:ascii="Century Gothic" w:hAnsi="Century Gothic"/>
          <w:sz w:val="22"/>
          <w:szCs w:val="22"/>
        </w:rPr>
        <w:t>da(</w:t>
      </w:r>
      <w:proofErr w:type="gramEnd"/>
      <w:r w:rsidRPr="00C76562">
        <w:rPr>
          <w:rFonts w:ascii="Century Gothic" w:hAnsi="Century Gothic"/>
          <w:sz w:val="22"/>
          <w:szCs w:val="22"/>
        </w:rPr>
        <w:t>s) anormalidade(s) observada(s);</w:t>
      </w:r>
    </w:p>
    <w:p w:rsidR="005245DA" w:rsidRPr="00C76562" w:rsidRDefault="00414EF2" w:rsidP="00B1025F">
      <w:pPr>
        <w:pStyle w:val="PargrafodaLista"/>
        <w:numPr>
          <w:ilvl w:val="0"/>
          <w:numId w:val="1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C76562">
        <w:rPr>
          <w:rFonts w:ascii="Century Gothic" w:hAnsi="Century Gothic"/>
          <w:sz w:val="22"/>
          <w:szCs w:val="22"/>
        </w:rPr>
        <w:t>Providências tomadas que dirimiram o problema observado.</w:t>
      </w:r>
    </w:p>
    <w:sectPr w:rsidR="005245DA" w:rsidRPr="00C76562" w:rsidSect="009F4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567" w:right="851" w:bottom="284" w:left="1418" w:header="567" w:footer="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67" w:rsidRDefault="001F7167">
      <w:r>
        <w:separator/>
      </w:r>
    </w:p>
  </w:endnote>
  <w:endnote w:type="continuationSeparator" w:id="0">
    <w:p w:rsidR="001F7167" w:rsidRDefault="001F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065"/>
      <w:gridCol w:w="562"/>
    </w:tblGrid>
    <w:tr w:rsidR="001F7167" w:rsidTr="00B8476D">
      <w:trPr>
        <w:jc w:val="center"/>
      </w:trPr>
      <w:tc>
        <w:tcPr>
          <w:tcW w:w="10065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F7167" w:rsidRDefault="001F7167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 xml:space="preserve">Av. João Batista Parra, 465 - Enseada do </w:t>
          </w:r>
          <w:proofErr w:type="spellStart"/>
          <w:r w:rsidRPr="008C5732">
            <w:rPr>
              <w:rFonts w:ascii="Century Gothic" w:hAnsi="Century Gothic"/>
            </w:rPr>
            <w:t>Suá</w:t>
          </w:r>
          <w:proofErr w:type="spellEnd"/>
          <w:r w:rsidRPr="008C5732">
            <w:rPr>
              <w:rFonts w:ascii="Century Gothic" w:hAnsi="Century Gothic"/>
            </w:rPr>
            <w:t xml:space="preserve"> - CEP: 29050-925 - </w:t>
          </w:r>
          <w:proofErr w:type="spellStart"/>
          <w:r w:rsidRPr="008C5732">
            <w:rPr>
              <w:rFonts w:ascii="Century Gothic" w:hAnsi="Century Gothic"/>
            </w:rPr>
            <w:t>Vitória-ES</w:t>
          </w:r>
          <w:proofErr w:type="spellEnd"/>
          <w:r w:rsidRPr="008C5732">
            <w:rPr>
              <w:rFonts w:ascii="Century Gothic" w:hAnsi="Century Gothic"/>
            </w:rPr>
            <w:t xml:space="preserve">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562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1F7167" w:rsidRDefault="001F7167" w:rsidP="009F4534">
          <w:pPr>
            <w:pStyle w:val="Rodap"/>
            <w:jc w:val="center"/>
            <w:rPr>
              <w:rFonts w:ascii="Century Gothic" w:hAnsi="Century Gothic"/>
            </w:rPr>
          </w:pPr>
        </w:p>
      </w:tc>
    </w:tr>
  </w:tbl>
  <w:p w:rsidR="001F7167" w:rsidRDefault="001F71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065"/>
      <w:gridCol w:w="562"/>
    </w:tblGrid>
    <w:tr w:rsidR="001F7167" w:rsidTr="00B8476D">
      <w:trPr>
        <w:jc w:val="center"/>
      </w:trPr>
      <w:tc>
        <w:tcPr>
          <w:tcW w:w="10065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F7167" w:rsidRDefault="001F7167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 xml:space="preserve">Av. João Batista Parra, 465 - Enseada do </w:t>
          </w:r>
          <w:proofErr w:type="spellStart"/>
          <w:r w:rsidRPr="008C5732">
            <w:rPr>
              <w:rFonts w:ascii="Century Gothic" w:hAnsi="Century Gothic"/>
            </w:rPr>
            <w:t>Suá</w:t>
          </w:r>
          <w:proofErr w:type="spellEnd"/>
          <w:r w:rsidRPr="008C5732">
            <w:rPr>
              <w:rFonts w:ascii="Century Gothic" w:hAnsi="Century Gothic"/>
            </w:rPr>
            <w:t xml:space="preserve"> - CEP: 29050-925 - </w:t>
          </w:r>
          <w:proofErr w:type="spellStart"/>
          <w:r w:rsidRPr="008C5732">
            <w:rPr>
              <w:rFonts w:ascii="Century Gothic" w:hAnsi="Century Gothic"/>
            </w:rPr>
            <w:t>Vitória-ES</w:t>
          </w:r>
          <w:proofErr w:type="spellEnd"/>
          <w:r w:rsidRPr="008C5732">
            <w:rPr>
              <w:rFonts w:ascii="Century Gothic" w:hAnsi="Century Gothic"/>
            </w:rPr>
            <w:t xml:space="preserve">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562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1F7167" w:rsidRDefault="001F7167" w:rsidP="009F4534">
          <w:pPr>
            <w:pStyle w:val="Rodap"/>
            <w:jc w:val="center"/>
            <w:rPr>
              <w:rFonts w:ascii="Century Gothic" w:hAnsi="Century Gothic"/>
            </w:rPr>
          </w:pPr>
        </w:p>
      </w:tc>
    </w:tr>
  </w:tbl>
  <w:p w:rsidR="001F7167" w:rsidRDefault="001F7167" w:rsidP="008C5732">
    <w:pPr>
      <w:pStyle w:val="Rodap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67" w:rsidRDefault="001F7167">
      <w:r>
        <w:separator/>
      </w:r>
    </w:p>
  </w:footnote>
  <w:footnote w:type="continuationSeparator" w:id="0">
    <w:p w:rsidR="001F7167" w:rsidRDefault="001F7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67" w:rsidRPr="00770204" w:rsidRDefault="00C337F5" w:rsidP="009F4534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2" o:spid="_x0000_s2060" type="#_x0000_t136" style="position:absolute;left:0;text-align:left;margin-left:0;margin-top:0;width:509.55pt;height:169.8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  <w:r w:rsidR="001F7167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5342890</wp:posOffset>
          </wp:positionH>
          <wp:positionV relativeFrom="paragraph">
            <wp:posOffset>6350</wp:posOffset>
          </wp:positionV>
          <wp:extent cx="1104265" cy="516890"/>
          <wp:effectExtent l="0" t="0" r="635" b="0"/>
          <wp:wrapNone/>
          <wp:docPr id="8" name="Imagem 1" descr="LOGOMARCAS_PRODEST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S_PRODEST_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7167">
      <w:rPr>
        <w:noProof/>
      </w:rPr>
      <w:drawing>
        <wp:anchor distT="0" distB="0" distL="114300" distR="114300" simplePos="0" relativeHeight="251657728" behindDoc="0" locked="0" layoutInCell="1" allowOverlap="1" wp14:anchorId="04866873" wp14:editId="3361AB0A">
          <wp:simplePos x="0" y="0"/>
          <wp:positionH relativeFrom="column">
            <wp:posOffset>-243205</wp:posOffset>
          </wp:positionH>
          <wp:positionV relativeFrom="paragraph">
            <wp:posOffset>-75565</wp:posOffset>
          </wp:positionV>
          <wp:extent cx="548640" cy="680720"/>
          <wp:effectExtent l="0" t="0" r="3810" b="5080"/>
          <wp:wrapSquare wrapText="bothSides"/>
          <wp:docPr id="7" name="Imagem 7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167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1F7167" w:rsidRDefault="001F7167" w:rsidP="009F4534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Secretaria de Estado de Gestão e Recursos Humanos – SEGER</w:t>
    </w:r>
  </w:p>
  <w:p w:rsidR="001F7167" w:rsidRDefault="001F7167" w:rsidP="009F4534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Instituto de Tecnologia da Informação e Comunicação do Estado do Espírito Santo</w:t>
    </w:r>
  </w:p>
  <w:p w:rsidR="001F7167" w:rsidRDefault="001F71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67" w:rsidRPr="00770204" w:rsidRDefault="00C337F5" w:rsidP="00053B1C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3" o:spid="_x0000_s2061" type="#_x0000_t136" style="position:absolute;left:0;text-align:left;margin-left:0;margin-top:0;width:509.55pt;height:169.8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  <w:r w:rsidR="001F716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70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F7167" w:rsidRDefault="001F7167" w:rsidP="009E2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04265" cy="516890"/>
                                <wp:effectExtent l="0" t="0" r="0" b="0"/>
                                <wp:docPr id="5" name="Imagem 1" descr="LOGOMARCAS_PRODEST_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MARCAS_PRODEST_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8.75pt;margin-top:-2.95pt;width:101.4pt;height:47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" filled="f" stroked="f">
              <v:textbox style="mso-fit-shape-to-text:t">
                <w:txbxContent>
                  <w:p w:rsidR="001F7167" w:rsidRDefault="001F7167" w:rsidP="009E2DE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4265" cy="516890"/>
                          <wp:effectExtent l="0" t="0" r="0" b="0"/>
                          <wp:docPr id="5" name="Imagem 1" descr="LOGOMARCAS_PRODEST_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MARCAS_PRODEST_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F7167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-75565</wp:posOffset>
          </wp:positionV>
          <wp:extent cx="548640" cy="680720"/>
          <wp:effectExtent l="0" t="0" r="0" b="0"/>
          <wp:wrapSquare wrapText="bothSides"/>
          <wp:docPr id="2" name="Imagem 2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167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1F7167" w:rsidRDefault="001F7167" w:rsidP="00053B1C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Secretaria de Estado de Gestão e Recursos Humanos – SEGER</w:t>
    </w:r>
  </w:p>
  <w:p w:rsidR="001F7167" w:rsidRDefault="001F7167" w:rsidP="00053B1C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Instituto de Tecnologia da Informação e Comunicação do Estado do Espírito Santo</w:t>
    </w:r>
  </w:p>
  <w:p w:rsidR="001F7167" w:rsidRPr="00770204" w:rsidRDefault="001F7167" w:rsidP="00053B1C">
    <w:pPr>
      <w:ind w:left="-851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67" w:rsidRDefault="00C337F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1" o:spid="_x0000_s2059" type="#_x0000_t136" style="position:absolute;margin-left:0;margin-top:0;width:509.55pt;height:169.8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3CA"/>
    <w:multiLevelType w:val="hybridMultilevel"/>
    <w:tmpl w:val="6AE8A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1D85"/>
    <w:multiLevelType w:val="multilevel"/>
    <w:tmpl w:val="DE168AD2"/>
    <w:lvl w:ilvl="0">
      <w:start w:val="1"/>
      <w:numFmt w:val="decimal"/>
      <w:lvlText w:val="%1"/>
      <w:lvlJc w:val="left"/>
      <w:pPr>
        <w:ind w:left="0" w:firstLine="0"/>
      </w:pPr>
      <w:rPr>
        <w:rFonts w:ascii="Century Gothic" w:hAnsi="Century Gothic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F333ABD"/>
    <w:multiLevelType w:val="hybridMultilevel"/>
    <w:tmpl w:val="25B861FE"/>
    <w:lvl w:ilvl="0" w:tplc="D24C40E2">
      <w:start w:val="2"/>
      <w:numFmt w:val="bullet"/>
      <w:lvlText w:val="•"/>
      <w:lvlJc w:val="left"/>
      <w:pPr>
        <w:ind w:left="1413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710A32"/>
    <w:multiLevelType w:val="hybridMultilevel"/>
    <w:tmpl w:val="9A6A3D6A"/>
    <w:lvl w:ilvl="0" w:tplc="D24C40E2">
      <w:start w:val="2"/>
      <w:numFmt w:val="bullet"/>
      <w:lvlText w:val="•"/>
      <w:lvlJc w:val="left"/>
      <w:pPr>
        <w:ind w:left="2118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 w15:restartNumberingAfterBreak="0">
    <w:nsid w:val="1E1C6158"/>
    <w:multiLevelType w:val="hybridMultilevel"/>
    <w:tmpl w:val="DFBA66A6"/>
    <w:lvl w:ilvl="0" w:tplc="5872893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20EC"/>
    <w:multiLevelType w:val="hybridMultilevel"/>
    <w:tmpl w:val="4D0AEEF2"/>
    <w:lvl w:ilvl="0" w:tplc="D24C40E2">
      <w:start w:val="2"/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64C1F"/>
    <w:multiLevelType w:val="multilevel"/>
    <w:tmpl w:val="C9CE8078"/>
    <w:styleLink w:val="Numeracaodosestilosedital"/>
    <w:lvl w:ilvl="0">
      <w:start w:val="1"/>
      <w:numFmt w:val="decimal"/>
      <w:lvlText w:val="%1"/>
      <w:lvlJc w:val="left"/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7" w15:restartNumberingAfterBreak="0">
    <w:nsid w:val="320C353E"/>
    <w:multiLevelType w:val="hybridMultilevel"/>
    <w:tmpl w:val="964C70E0"/>
    <w:lvl w:ilvl="0" w:tplc="856E65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7F5D3A"/>
    <w:multiLevelType w:val="hybridMultilevel"/>
    <w:tmpl w:val="14DC9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3486"/>
    <w:multiLevelType w:val="multilevel"/>
    <w:tmpl w:val="760E608E"/>
    <w:lvl w:ilvl="0">
      <w:start w:val="1"/>
      <w:numFmt w:val="decimal"/>
      <w:pStyle w:val="Tabela"/>
      <w:lvlText w:val="%1 -"/>
      <w:lvlJc w:val="right"/>
      <w:pPr>
        <w:tabs>
          <w:tab w:val="num" w:pos="567"/>
        </w:tabs>
        <w:ind w:left="567" w:hanging="27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Arial (W1)" w:hAnsi="Arial (W1)" w:cs="Arial (W1)" w:hint="default"/>
        <w:b w:val="0"/>
        <w:bCs w:val="0"/>
        <w:i w:val="0"/>
        <w:iCs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474" w:hanging="7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3AB430C"/>
    <w:multiLevelType w:val="multilevel"/>
    <w:tmpl w:val="C9CE8078"/>
    <w:numStyleLink w:val="Numeracaodosestilosedital"/>
  </w:abstractNum>
  <w:abstractNum w:abstractNumId="11" w15:restartNumberingAfterBreak="0">
    <w:nsid w:val="456B515F"/>
    <w:multiLevelType w:val="multilevel"/>
    <w:tmpl w:val="BDDC10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4C38E6"/>
    <w:multiLevelType w:val="hybridMultilevel"/>
    <w:tmpl w:val="D4B60588"/>
    <w:lvl w:ilvl="0" w:tplc="FDDCA4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458BB"/>
    <w:multiLevelType w:val="hybridMultilevel"/>
    <w:tmpl w:val="7DB296C0"/>
    <w:lvl w:ilvl="0" w:tplc="312CB01A">
      <w:start w:val="1"/>
      <w:numFmt w:val="lowerLetter"/>
      <w:pStyle w:val="LetrascomRecuo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7B0868C0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8CD49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1A2EDC3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A1E0BB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B30D97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B0D45ABE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A27C0E5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79A8794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C074797"/>
    <w:multiLevelType w:val="multilevel"/>
    <w:tmpl w:val="622248F8"/>
    <w:lvl w:ilvl="0">
      <w:start w:val="1"/>
      <w:numFmt w:val="decimal"/>
      <w:pStyle w:val="Edital-Nvel1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Edital-Nv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Edital-Nvel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Edital-Nvel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4">
      <w:start w:val="1"/>
      <w:numFmt w:val="decimal"/>
      <w:pStyle w:val="Edital-Nvel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 w15:restartNumberingAfterBreak="0">
    <w:nsid w:val="61D03750"/>
    <w:multiLevelType w:val="multilevel"/>
    <w:tmpl w:val="8BC0B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35D3562"/>
    <w:multiLevelType w:val="multilevel"/>
    <w:tmpl w:val="715EA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6022405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7C91FAE"/>
    <w:multiLevelType w:val="multilevel"/>
    <w:tmpl w:val="1396E228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1.%2 - "/>
      <w:lvlJc w:val="righ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20" w15:restartNumberingAfterBreak="0">
    <w:nsid w:val="77DA3AFD"/>
    <w:multiLevelType w:val="multilevel"/>
    <w:tmpl w:val="C9CE8078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22" w15:restartNumberingAfterBreak="0">
    <w:nsid w:val="7C1F71DA"/>
    <w:multiLevelType w:val="multilevel"/>
    <w:tmpl w:val="C9CE8078"/>
    <w:numStyleLink w:val="Numeracaodosestilosedital"/>
  </w:abstractNum>
  <w:num w:numId="1">
    <w:abstractNumId w:val="19"/>
  </w:num>
  <w:num w:numId="2">
    <w:abstractNumId w:val="14"/>
  </w:num>
  <w:num w:numId="3">
    <w:abstractNumId w:val="21"/>
  </w:num>
  <w:num w:numId="4">
    <w:abstractNumId w:val="13"/>
  </w:num>
  <w:num w:numId="5">
    <w:abstractNumId w:val="15"/>
  </w:num>
  <w:num w:numId="6">
    <w:abstractNumId w:val="6"/>
  </w:num>
  <w:num w:numId="7">
    <w:abstractNumId w:val="20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9"/>
  </w:num>
  <w:num w:numId="9">
    <w:abstractNumId w:val="4"/>
  </w:num>
  <w:num w:numId="10">
    <w:abstractNumId w:val="22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Century Gothic" w:hAnsi="Century Gothic" w:cs="Times New Roman" w:hint="default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cs="Times New Roman" w:hint="default"/>
        </w:rPr>
      </w:lvl>
    </w:lvlOverride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  <w:num w:numId="15">
    <w:abstractNumId w:val="3"/>
  </w:num>
  <w:num w:numId="16">
    <w:abstractNumId w:val="0"/>
  </w:num>
  <w:num w:numId="17">
    <w:abstractNumId w:val="1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10"/>
    <w:lvlOverride w:ilvl="0">
      <w:lvl w:ilvl="0">
        <w:start w:val="1"/>
        <w:numFmt w:val="decimal"/>
        <w:lvlText w:val="%1"/>
        <w:lvlJc w:val="left"/>
        <w:rPr>
          <w:rFonts w:ascii="Century Gothic" w:hAnsi="Century Gothic" w:cs="Times New Roman" w:hint="default"/>
          <w:sz w:val="20"/>
        </w:rPr>
      </w:lvl>
    </w:lvlOverride>
  </w:num>
  <w:num w:numId="19">
    <w:abstractNumId w:val="17"/>
  </w:num>
  <w:num w:numId="20">
    <w:abstractNumId w:val="12"/>
  </w:num>
  <w:num w:numId="21">
    <w:abstractNumId w:val="11"/>
  </w:num>
  <w:num w:numId="22">
    <w:abstractNumId w:val="16"/>
  </w:num>
  <w:num w:numId="2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42"/>
    <w:rsid w:val="00001A53"/>
    <w:rsid w:val="0000352E"/>
    <w:rsid w:val="00015A10"/>
    <w:rsid w:val="00020026"/>
    <w:rsid w:val="00021BF0"/>
    <w:rsid w:val="00030179"/>
    <w:rsid w:val="00032EA7"/>
    <w:rsid w:val="00035378"/>
    <w:rsid w:val="00045C4F"/>
    <w:rsid w:val="000512BE"/>
    <w:rsid w:val="0005212F"/>
    <w:rsid w:val="00053B1C"/>
    <w:rsid w:val="00054A9D"/>
    <w:rsid w:val="000616A0"/>
    <w:rsid w:val="00061FB5"/>
    <w:rsid w:val="00066E4D"/>
    <w:rsid w:val="00074F4E"/>
    <w:rsid w:val="00075BFC"/>
    <w:rsid w:val="000778FA"/>
    <w:rsid w:val="00077AEF"/>
    <w:rsid w:val="00090377"/>
    <w:rsid w:val="000A7103"/>
    <w:rsid w:val="000B1A60"/>
    <w:rsid w:val="000B4158"/>
    <w:rsid w:val="000B7723"/>
    <w:rsid w:val="000D32CE"/>
    <w:rsid w:val="000D52F2"/>
    <w:rsid w:val="000E5E64"/>
    <w:rsid w:val="000F03AF"/>
    <w:rsid w:val="000F7991"/>
    <w:rsid w:val="00103F40"/>
    <w:rsid w:val="001043CB"/>
    <w:rsid w:val="00110C4C"/>
    <w:rsid w:val="001163D9"/>
    <w:rsid w:val="00116636"/>
    <w:rsid w:val="00117C4F"/>
    <w:rsid w:val="001222A6"/>
    <w:rsid w:val="00124B99"/>
    <w:rsid w:val="00130E11"/>
    <w:rsid w:val="00131916"/>
    <w:rsid w:val="001348D0"/>
    <w:rsid w:val="00137B9C"/>
    <w:rsid w:val="00140D50"/>
    <w:rsid w:val="00140E96"/>
    <w:rsid w:val="00143BC2"/>
    <w:rsid w:val="00143BE2"/>
    <w:rsid w:val="00155C8A"/>
    <w:rsid w:val="001608AA"/>
    <w:rsid w:val="001627D9"/>
    <w:rsid w:val="0016618F"/>
    <w:rsid w:val="00174637"/>
    <w:rsid w:val="0018471E"/>
    <w:rsid w:val="00190CA8"/>
    <w:rsid w:val="00193AE6"/>
    <w:rsid w:val="001948C0"/>
    <w:rsid w:val="00194F4D"/>
    <w:rsid w:val="00196274"/>
    <w:rsid w:val="001B008E"/>
    <w:rsid w:val="001B40DE"/>
    <w:rsid w:val="001B68ED"/>
    <w:rsid w:val="001C2EAE"/>
    <w:rsid w:val="001C2EDD"/>
    <w:rsid w:val="001D0A19"/>
    <w:rsid w:val="001D27E7"/>
    <w:rsid w:val="001D3287"/>
    <w:rsid w:val="001D34D4"/>
    <w:rsid w:val="001D3513"/>
    <w:rsid w:val="001E2798"/>
    <w:rsid w:val="001F160E"/>
    <w:rsid w:val="001F7167"/>
    <w:rsid w:val="00200F3E"/>
    <w:rsid w:val="00202A3F"/>
    <w:rsid w:val="00202EEA"/>
    <w:rsid w:val="0020502D"/>
    <w:rsid w:val="00207A20"/>
    <w:rsid w:val="00214EB6"/>
    <w:rsid w:val="00221C54"/>
    <w:rsid w:val="00222B1E"/>
    <w:rsid w:val="00224575"/>
    <w:rsid w:val="002255AD"/>
    <w:rsid w:val="00227706"/>
    <w:rsid w:val="00244173"/>
    <w:rsid w:val="00247EF4"/>
    <w:rsid w:val="002558EA"/>
    <w:rsid w:val="002605AF"/>
    <w:rsid w:val="002617F2"/>
    <w:rsid w:val="00263783"/>
    <w:rsid w:val="00277B42"/>
    <w:rsid w:val="002802C8"/>
    <w:rsid w:val="0028662F"/>
    <w:rsid w:val="00286FAF"/>
    <w:rsid w:val="00287846"/>
    <w:rsid w:val="00293288"/>
    <w:rsid w:val="00295007"/>
    <w:rsid w:val="002A06E7"/>
    <w:rsid w:val="002A3917"/>
    <w:rsid w:val="002A4235"/>
    <w:rsid w:val="002A7C69"/>
    <w:rsid w:val="002A7DD7"/>
    <w:rsid w:val="002A7E8C"/>
    <w:rsid w:val="002B17E2"/>
    <w:rsid w:val="002B1CA2"/>
    <w:rsid w:val="002B5CC4"/>
    <w:rsid w:val="002B67FA"/>
    <w:rsid w:val="002C165D"/>
    <w:rsid w:val="002C51A5"/>
    <w:rsid w:val="002D1632"/>
    <w:rsid w:val="002D186B"/>
    <w:rsid w:val="002E31D0"/>
    <w:rsid w:val="002E35C1"/>
    <w:rsid w:val="002E3FE9"/>
    <w:rsid w:val="002E6E12"/>
    <w:rsid w:val="002F4FC8"/>
    <w:rsid w:val="002F7A28"/>
    <w:rsid w:val="00302253"/>
    <w:rsid w:val="00302561"/>
    <w:rsid w:val="003055F5"/>
    <w:rsid w:val="00311516"/>
    <w:rsid w:val="00314016"/>
    <w:rsid w:val="003219B3"/>
    <w:rsid w:val="0032407B"/>
    <w:rsid w:val="0032444C"/>
    <w:rsid w:val="003257D1"/>
    <w:rsid w:val="00331474"/>
    <w:rsid w:val="00343B9B"/>
    <w:rsid w:val="00345A6D"/>
    <w:rsid w:val="00346A93"/>
    <w:rsid w:val="00354819"/>
    <w:rsid w:val="00366DE2"/>
    <w:rsid w:val="003678FE"/>
    <w:rsid w:val="00370567"/>
    <w:rsid w:val="00371964"/>
    <w:rsid w:val="00371C85"/>
    <w:rsid w:val="00373003"/>
    <w:rsid w:val="00374376"/>
    <w:rsid w:val="00375861"/>
    <w:rsid w:val="00391AB1"/>
    <w:rsid w:val="00392DC1"/>
    <w:rsid w:val="00397A76"/>
    <w:rsid w:val="003A5F36"/>
    <w:rsid w:val="003A7908"/>
    <w:rsid w:val="003B6321"/>
    <w:rsid w:val="003C1EB0"/>
    <w:rsid w:val="003C6025"/>
    <w:rsid w:val="003D48F5"/>
    <w:rsid w:val="003D5C51"/>
    <w:rsid w:val="003D69F5"/>
    <w:rsid w:val="003E0081"/>
    <w:rsid w:val="003E0FDF"/>
    <w:rsid w:val="003E2EB4"/>
    <w:rsid w:val="003E4637"/>
    <w:rsid w:val="003F718F"/>
    <w:rsid w:val="00400ADF"/>
    <w:rsid w:val="00407F71"/>
    <w:rsid w:val="004100F1"/>
    <w:rsid w:val="004136F5"/>
    <w:rsid w:val="00414EF2"/>
    <w:rsid w:val="00424896"/>
    <w:rsid w:val="004270FF"/>
    <w:rsid w:val="00427862"/>
    <w:rsid w:val="004446BB"/>
    <w:rsid w:val="004533E7"/>
    <w:rsid w:val="0045498A"/>
    <w:rsid w:val="00455B1F"/>
    <w:rsid w:val="00463C10"/>
    <w:rsid w:val="004649C5"/>
    <w:rsid w:val="00472A92"/>
    <w:rsid w:val="0047650C"/>
    <w:rsid w:val="00476945"/>
    <w:rsid w:val="004772ED"/>
    <w:rsid w:val="00483033"/>
    <w:rsid w:val="00486E93"/>
    <w:rsid w:val="00491054"/>
    <w:rsid w:val="004931A0"/>
    <w:rsid w:val="004A06C6"/>
    <w:rsid w:val="004A2ECD"/>
    <w:rsid w:val="004B08F0"/>
    <w:rsid w:val="004B2BEC"/>
    <w:rsid w:val="004B45B7"/>
    <w:rsid w:val="004B6D3E"/>
    <w:rsid w:val="004C267B"/>
    <w:rsid w:val="004E157E"/>
    <w:rsid w:val="004E4B76"/>
    <w:rsid w:val="004F0D3F"/>
    <w:rsid w:val="005001DF"/>
    <w:rsid w:val="00517EEC"/>
    <w:rsid w:val="00520780"/>
    <w:rsid w:val="00522C94"/>
    <w:rsid w:val="00523282"/>
    <w:rsid w:val="005245DA"/>
    <w:rsid w:val="00527102"/>
    <w:rsid w:val="00535A2B"/>
    <w:rsid w:val="0054624A"/>
    <w:rsid w:val="005468AB"/>
    <w:rsid w:val="00554950"/>
    <w:rsid w:val="00557117"/>
    <w:rsid w:val="00560E12"/>
    <w:rsid w:val="00561449"/>
    <w:rsid w:val="005619FD"/>
    <w:rsid w:val="005637AA"/>
    <w:rsid w:val="005652DE"/>
    <w:rsid w:val="005678B4"/>
    <w:rsid w:val="00577FE9"/>
    <w:rsid w:val="00580391"/>
    <w:rsid w:val="00592254"/>
    <w:rsid w:val="005A3320"/>
    <w:rsid w:val="005A5DF8"/>
    <w:rsid w:val="005A71B2"/>
    <w:rsid w:val="005A7790"/>
    <w:rsid w:val="005B00B1"/>
    <w:rsid w:val="005B182D"/>
    <w:rsid w:val="005B1F50"/>
    <w:rsid w:val="005B40FE"/>
    <w:rsid w:val="005D2600"/>
    <w:rsid w:val="005D3092"/>
    <w:rsid w:val="005D4AD0"/>
    <w:rsid w:val="005D4B0B"/>
    <w:rsid w:val="005E54AF"/>
    <w:rsid w:val="005E5F14"/>
    <w:rsid w:val="005F65D0"/>
    <w:rsid w:val="005F7B3D"/>
    <w:rsid w:val="006005FB"/>
    <w:rsid w:val="00600E74"/>
    <w:rsid w:val="006042FB"/>
    <w:rsid w:val="00605D4C"/>
    <w:rsid w:val="0060776E"/>
    <w:rsid w:val="00610365"/>
    <w:rsid w:val="00621328"/>
    <w:rsid w:val="00632E66"/>
    <w:rsid w:val="00635E62"/>
    <w:rsid w:val="00637915"/>
    <w:rsid w:val="00641760"/>
    <w:rsid w:val="00661AC7"/>
    <w:rsid w:val="00665520"/>
    <w:rsid w:val="006658E4"/>
    <w:rsid w:val="0067565C"/>
    <w:rsid w:val="00682BBB"/>
    <w:rsid w:val="006858FA"/>
    <w:rsid w:val="00687313"/>
    <w:rsid w:val="00687546"/>
    <w:rsid w:val="00690D50"/>
    <w:rsid w:val="00691E7B"/>
    <w:rsid w:val="00692DA7"/>
    <w:rsid w:val="00695EDF"/>
    <w:rsid w:val="006A2C90"/>
    <w:rsid w:val="006A3DF1"/>
    <w:rsid w:val="006B0757"/>
    <w:rsid w:val="006B435A"/>
    <w:rsid w:val="006B71FE"/>
    <w:rsid w:val="006C0381"/>
    <w:rsid w:val="006C064C"/>
    <w:rsid w:val="006C74CD"/>
    <w:rsid w:val="006D3ED7"/>
    <w:rsid w:val="006E34E1"/>
    <w:rsid w:val="006E371A"/>
    <w:rsid w:val="006E7C06"/>
    <w:rsid w:val="006F0C99"/>
    <w:rsid w:val="006F1F42"/>
    <w:rsid w:val="006F2A3A"/>
    <w:rsid w:val="006F4C4A"/>
    <w:rsid w:val="006F4FA7"/>
    <w:rsid w:val="006F7CFA"/>
    <w:rsid w:val="007035B4"/>
    <w:rsid w:val="007063E1"/>
    <w:rsid w:val="0071041F"/>
    <w:rsid w:val="00711BC0"/>
    <w:rsid w:val="007211F7"/>
    <w:rsid w:val="00721B84"/>
    <w:rsid w:val="00726761"/>
    <w:rsid w:val="00727F02"/>
    <w:rsid w:val="00733B13"/>
    <w:rsid w:val="00742779"/>
    <w:rsid w:val="007516A5"/>
    <w:rsid w:val="00755808"/>
    <w:rsid w:val="007564BA"/>
    <w:rsid w:val="00770191"/>
    <w:rsid w:val="00770204"/>
    <w:rsid w:val="007707F4"/>
    <w:rsid w:val="00783311"/>
    <w:rsid w:val="0079048B"/>
    <w:rsid w:val="007A154D"/>
    <w:rsid w:val="007A470F"/>
    <w:rsid w:val="007B0D41"/>
    <w:rsid w:val="007B4BA7"/>
    <w:rsid w:val="007B52EC"/>
    <w:rsid w:val="007C75BC"/>
    <w:rsid w:val="007D1B23"/>
    <w:rsid w:val="007D22E8"/>
    <w:rsid w:val="007D7AE7"/>
    <w:rsid w:val="007F0E60"/>
    <w:rsid w:val="007F24FE"/>
    <w:rsid w:val="008004FA"/>
    <w:rsid w:val="00801768"/>
    <w:rsid w:val="00805174"/>
    <w:rsid w:val="00807F71"/>
    <w:rsid w:val="008108A2"/>
    <w:rsid w:val="00812226"/>
    <w:rsid w:val="008346D1"/>
    <w:rsid w:val="00835F63"/>
    <w:rsid w:val="0083688E"/>
    <w:rsid w:val="00844D1D"/>
    <w:rsid w:val="00854CAD"/>
    <w:rsid w:val="00855F35"/>
    <w:rsid w:val="0086661C"/>
    <w:rsid w:val="0087356B"/>
    <w:rsid w:val="008741BB"/>
    <w:rsid w:val="00876D3A"/>
    <w:rsid w:val="00881BC1"/>
    <w:rsid w:val="00882364"/>
    <w:rsid w:val="0089315B"/>
    <w:rsid w:val="008B21AD"/>
    <w:rsid w:val="008B27DA"/>
    <w:rsid w:val="008C5732"/>
    <w:rsid w:val="008D04EF"/>
    <w:rsid w:val="008D2456"/>
    <w:rsid w:val="008E1532"/>
    <w:rsid w:val="008E1766"/>
    <w:rsid w:val="008E35C9"/>
    <w:rsid w:val="008E4B10"/>
    <w:rsid w:val="008E4BB5"/>
    <w:rsid w:val="008E60C8"/>
    <w:rsid w:val="00901F7D"/>
    <w:rsid w:val="00907411"/>
    <w:rsid w:val="00911186"/>
    <w:rsid w:val="00921323"/>
    <w:rsid w:val="009279CD"/>
    <w:rsid w:val="009354CB"/>
    <w:rsid w:val="00940FED"/>
    <w:rsid w:val="009432AC"/>
    <w:rsid w:val="00943A81"/>
    <w:rsid w:val="00954BC5"/>
    <w:rsid w:val="00956C9D"/>
    <w:rsid w:val="00962B47"/>
    <w:rsid w:val="00963B0A"/>
    <w:rsid w:val="00964355"/>
    <w:rsid w:val="00966A14"/>
    <w:rsid w:val="00973040"/>
    <w:rsid w:val="00976B01"/>
    <w:rsid w:val="00976CB9"/>
    <w:rsid w:val="00977B94"/>
    <w:rsid w:val="0098377C"/>
    <w:rsid w:val="0099422C"/>
    <w:rsid w:val="00996DE1"/>
    <w:rsid w:val="009A3B4C"/>
    <w:rsid w:val="009A4E81"/>
    <w:rsid w:val="009A7762"/>
    <w:rsid w:val="009B2991"/>
    <w:rsid w:val="009B3E5B"/>
    <w:rsid w:val="009B7F24"/>
    <w:rsid w:val="009C1B36"/>
    <w:rsid w:val="009C2D8F"/>
    <w:rsid w:val="009C3303"/>
    <w:rsid w:val="009D2C57"/>
    <w:rsid w:val="009D431B"/>
    <w:rsid w:val="009E1B1B"/>
    <w:rsid w:val="009E2840"/>
    <w:rsid w:val="009E2DE6"/>
    <w:rsid w:val="009E7787"/>
    <w:rsid w:val="009F4534"/>
    <w:rsid w:val="00A07A48"/>
    <w:rsid w:val="00A150EE"/>
    <w:rsid w:val="00A154DD"/>
    <w:rsid w:val="00A165FA"/>
    <w:rsid w:val="00A20BAB"/>
    <w:rsid w:val="00A21346"/>
    <w:rsid w:val="00A23F59"/>
    <w:rsid w:val="00A3038D"/>
    <w:rsid w:val="00A336DD"/>
    <w:rsid w:val="00A37486"/>
    <w:rsid w:val="00A42582"/>
    <w:rsid w:val="00A4615A"/>
    <w:rsid w:val="00A4619A"/>
    <w:rsid w:val="00A46799"/>
    <w:rsid w:val="00A648B6"/>
    <w:rsid w:val="00A649F4"/>
    <w:rsid w:val="00A70487"/>
    <w:rsid w:val="00A70C37"/>
    <w:rsid w:val="00A827CB"/>
    <w:rsid w:val="00A86F53"/>
    <w:rsid w:val="00A955A3"/>
    <w:rsid w:val="00AA117B"/>
    <w:rsid w:val="00AA2B20"/>
    <w:rsid w:val="00AB12A8"/>
    <w:rsid w:val="00AB16CC"/>
    <w:rsid w:val="00AB66A0"/>
    <w:rsid w:val="00AC483F"/>
    <w:rsid w:val="00AD34F4"/>
    <w:rsid w:val="00AD362D"/>
    <w:rsid w:val="00AD75C1"/>
    <w:rsid w:val="00AE1AF9"/>
    <w:rsid w:val="00AE4949"/>
    <w:rsid w:val="00B0286D"/>
    <w:rsid w:val="00B1025F"/>
    <w:rsid w:val="00B155B0"/>
    <w:rsid w:val="00B17236"/>
    <w:rsid w:val="00B23A95"/>
    <w:rsid w:val="00B23D3B"/>
    <w:rsid w:val="00B23D91"/>
    <w:rsid w:val="00B2589E"/>
    <w:rsid w:val="00B31327"/>
    <w:rsid w:val="00B352B4"/>
    <w:rsid w:val="00B37A78"/>
    <w:rsid w:val="00B415D3"/>
    <w:rsid w:val="00B431BE"/>
    <w:rsid w:val="00B607B3"/>
    <w:rsid w:val="00B63934"/>
    <w:rsid w:val="00B71918"/>
    <w:rsid w:val="00B8476D"/>
    <w:rsid w:val="00B87CBA"/>
    <w:rsid w:val="00B9332C"/>
    <w:rsid w:val="00B96905"/>
    <w:rsid w:val="00BC1A95"/>
    <w:rsid w:val="00BC759B"/>
    <w:rsid w:val="00BD336C"/>
    <w:rsid w:val="00BD3E31"/>
    <w:rsid w:val="00BD55B7"/>
    <w:rsid w:val="00BE3947"/>
    <w:rsid w:val="00BE442D"/>
    <w:rsid w:val="00BF17BF"/>
    <w:rsid w:val="00BF61DB"/>
    <w:rsid w:val="00C02A7C"/>
    <w:rsid w:val="00C07FE6"/>
    <w:rsid w:val="00C17260"/>
    <w:rsid w:val="00C337F5"/>
    <w:rsid w:val="00C3427A"/>
    <w:rsid w:val="00C42F17"/>
    <w:rsid w:val="00C50C8E"/>
    <w:rsid w:val="00C6151A"/>
    <w:rsid w:val="00C736D0"/>
    <w:rsid w:val="00C7438B"/>
    <w:rsid w:val="00C76562"/>
    <w:rsid w:val="00C7707E"/>
    <w:rsid w:val="00C808B0"/>
    <w:rsid w:val="00C8130A"/>
    <w:rsid w:val="00C82D23"/>
    <w:rsid w:val="00C87E24"/>
    <w:rsid w:val="00C905DD"/>
    <w:rsid w:val="00C9216D"/>
    <w:rsid w:val="00CA0B43"/>
    <w:rsid w:val="00CA144D"/>
    <w:rsid w:val="00CB03BC"/>
    <w:rsid w:val="00CC0073"/>
    <w:rsid w:val="00CC7163"/>
    <w:rsid w:val="00CD11EE"/>
    <w:rsid w:val="00CE2868"/>
    <w:rsid w:val="00CE74D0"/>
    <w:rsid w:val="00CE76C5"/>
    <w:rsid w:val="00CF57C6"/>
    <w:rsid w:val="00CF6B8D"/>
    <w:rsid w:val="00D004DA"/>
    <w:rsid w:val="00D04A5E"/>
    <w:rsid w:val="00D066B1"/>
    <w:rsid w:val="00D16CF0"/>
    <w:rsid w:val="00D273F1"/>
    <w:rsid w:val="00D425E0"/>
    <w:rsid w:val="00D42CEA"/>
    <w:rsid w:val="00D43F07"/>
    <w:rsid w:val="00D650E0"/>
    <w:rsid w:val="00D65C71"/>
    <w:rsid w:val="00D70455"/>
    <w:rsid w:val="00D741AC"/>
    <w:rsid w:val="00D81F12"/>
    <w:rsid w:val="00D82409"/>
    <w:rsid w:val="00D96D35"/>
    <w:rsid w:val="00D97C3E"/>
    <w:rsid w:val="00DA0CE9"/>
    <w:rsid w:val="00DB1021"/>
    <w:rsid w:val="00DB465D"/>
    <w:rsid w:val="00DC1246"/>
    <w:rsid w:val="00DC5841"/>
    <w:rsid w:val="00DD007D"/>
    <w:rsid w:val="00DD1766"/>
    <w:rsid w:val="00DE3C06"/>
    <w:rsid w:val="00DE7B6A"/>
    <w:rsid w:val="00DE7BC7"/>
    <w:rsid w:val="00DF1586"/>
    <w:rsid w:val="00E0003F"/>
    <w:rsid w:val="00E0194A"/>
    <w:rsid w:val="00E10167"/>
    <w:rsid w:val="00E135FD"/>
    <w:rsid w:val="00E21BDF"/>
    <w:rsid w:val="00E22796"/>
    <w:rsid w:val="00E2286B"/>
    <w:rsid w:val="00E22F3E"/>
    <w:rsid w:val="00E402EA"/>
    <w:rsid w:val="00E43D0E"/>
    <w:rsid w:val="00E47808"/>
    <w:rsid w:val="00E50689"/>
    <w:rsid w:val="00E57925"/>
    <w:rsid w:val="00E6002F"/>
    <w:rsid w:val="00E62968"/>
    <w:rsid w:val="00E667EF"/>
    <w:rsid w:val="00E7538D"/>
    <w:rsid w:val="00E86841"/>
    <w:rsid w:val="00E870C4"/>
    <w:rsid w:val="00EA4B61"/>
    <w:rsid w:val="00EA77DC"/>
    <w:rsid w:val="00EB0789"/>
    <w:rsid w:val="00EB2797"/>
    <w:rsid w:val="00EB45F2"/>
    <w:rsid w:val="00EB6E7A"/>
    <w:rsid w:val="00EC1425"/>
    <w:rsid w:val="00EC3710"/>
    <w:rsid w:val="00ED6223"/>
    <w:rsid w:val="00EF5DB4"/>
    <w:rsid w:val="00F043D1"/>
    <w:rsid w:val="00F044B8"/>
    <w:rsid w:val="00F13015"/>
    <w:rsid w:val="00F13CF2"/>
    <w:rsid w:val="00F21B6A"/>
    <w:rsid w:val="00F2232E"/>
    <w:rsid w:val="00F34656"/>
    <w:rsid w:val="00F34732"/>
    <w:rsid w:val="00F374C4"/>
    <w:rsid w:val="00F40562"/>
    <w:rsid w:val="00F47A70"/>
    <w:rsid w:val="00F50106"/>
    <w:rsid w:val="00F64683"/>
    <w:rsid w:val="00F70BD9"/>
    <w:rsid w:val="00F80301"/>
    <w:rsid w:val="00F808E7"/>
    <w:rsid w:val="00F83702"/>
    <w:rsid w:val="00F912E8"/>
    <w:rsid w:val="00F974A4"/>
    <w:rsid w:val="00FA56B7"/>
    <w:rsid w:val="00FB7311"/>
    <w:rsid w:val="00FB7864"/>
    <w:rsid w:val="00FC44B6"/>
    <w:rsid w:val="00FC54AC"/>
    <w:rsid w:val="00FC6FD4"/>
    <w:rsid w:val="00FD1801"/>
    <w:rsid w:val="00FD60EC"/>
    <w:rsid w:val="00FD6C58"/>
    <w:rsid w:val="00FF0634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8D4F8600-8D5C-4F2F-BFE7-DB1E4C09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qFormat/>
    <w:rsid w:val="00E0003F"/>
    <w:pPr>
      <w:keepNext/>
      <w:spacing w:before="240" w:after="60"/>
      <w:ind w:left="141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27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33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rsid w:val="0099422C"/>
    <w:pPr>
      <w:jc w:val="center"/>
    </w:pPr>
    <w:rPr>
      <w:rFonts w:ascii="Tahoma" w:hAnsi="Tahoma"/>
      <w:sz w:val="28"/>
    </w:rPr>
  </w:style>
  <w:style w:type="table" w:styleId="Tabelacomgrade">
    <w:name w:val="Table Grid"/>
    <w:basedOn w:val="Tabelanormal"/>
    <w:rsid w:val="00994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17">
    <w:name w:val="estilodeemail17"/>
    <w:semiHidden/>
    <w:rsid w:val="0099422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link w:val="Ttulo1"/>
    <w:rsid w:val="00E0003F"/>
    <w:rPr>
      <w:rFonts w:ascii="Arial" w:hAnsi="Arial" w:cs="Arial"/>
      <w:b/>
      <w:bCs/>
      <w:kern w:val="32"/>
      <w:sz w:val="32"/>
      <w:szCs w:val="32"/>
    </w:rPr>
  </w:style>
  <w:style w:type="character" w:customStyle="1" w:styleId="ANEXO-TtuloChar">
    <w:name w:val="ANEXO - Título Char"/>
    <w:link w:val="ANEXO-Ttulo"/>
    <w:rsid w:val="00E0003F"/>
    <w:rPr>
      <w:b/>
      <w:bCs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003F"/>
    <w:pPr>
      <w:jc w:val="both"/>
    </w:pPr>
    <w:rPr>
      <w:sz w:val="18"/>
      <w:szCs w:val="18"/>
    </w:rPr>
  </w:style>
  <w:style w:type="character" w:customStyle="1" w:styleId="CorpodetextoChar">
    <w:name w:val="Corpo de texto Char"/>
    <w:link w:val="Corpodetexto"/>
    <w:uiPriority w:val="99"/>
    <w:rsid w:val="00E0003F"/>
    <w:rPr>
      <w:sz w:val="18"/>
      <w:szCs w:val="18"/>
    </w:rPr>
  </w:style>
  <w:style w:type="paragraph" w:styleId="NormalWeb">
    <w:name w:val="Normal (Web)"/>
    <w:basedOn w:val="Normal"/>
    <w:rsid w:val="00E0003F"/>
    <w:pPr>
      <w:spacing w:before="100" w:after="100"/>
    </w:pPr>
  </w:style>
  <w:style w:type="paragraph" w:customStyle="1" w:styleId="Corpo">
    <w:name w:val="Corpo"/>
    <w:uiPriority w:val="99"/>
    <w:rsid w:val="00E0003F"/>
    <w:rPr>
      <w:color w:val="000000"/>
      <w:sz w:val="24"/>
      <w:szCs w:val="24"/>
    </w:rPr>
  </w:style>
  <w:style w:type="paragraph" w:customStyle="1" w:styleId="NmerosPrincipais">
    <w:name w:val="Números Principais"/>
    <w:basedOn w:val="Normal"/>
    <w:uiPriority w:val="99"/>
    <w:rsid w:val="00E0003F"/>
    <w:pPr>
      <w:numPr>
        <w:numId w:val="1"/>
      </w:numPr>
      <w:spacing w:before="120" w:after="240"/>
      <w:jc w:val="both"/>
    </w:pPr>
    <w:rPr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E0003F"/>
    <w:pPr>
      <w:spacing w:after="120"/>
      <w:jc w:val="both"/>
    </w:pPr>
    <w:rPr>
      <w:sz w:val="24"/>
      <w:szCs w:val="24"/>
    </w:rPr>
  </w:style>
  <w:style w:type="paragraph" w:customStyle="1" w:styleId="ANEXO-Rtulo">
    <w:name w:val="ANEXO - Rótulo"/>
    <w:basedOn w:val="Normal"/>
    <w:uiPriority w:val="99"/>
    <w:rsid w:val="00E0003F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ANEXO-Ttulo">
    <w:name w:val="ANEXO - Título"/>
    <w:basedOn w:val="Ttulo1"/>
    <w:link w:val="ANEXO-TtuloChar"/>
    <w:rsid w:val="00E0003F"/>
    <w:pPr>
      <w:spacing w:before="120" w:after="240"/>
      <w:ind w:left="0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Dataeassinatura">
    <w:name w:val="Data e assinatura"/>
    <w:basedOn w:val="Normal"/>
    <w:rsid w:val="00E0003F"/>
    <w:pPr>
      <w:spacing w:after="720"/>
      <w:jc w:val="both"/>
    </w:pPr>
    <w:rPr>
      <w:sz w:val="24"/>
      <w:szCs w:val="24"/>
    </w:rPr>
  </w:style>
  <w:style w:type="paragraph" w:customStyle="1" w:styleId="LetrasMultinvel">
    <w:name w:val="Letras Multinível"/>
    <w:basedOn w:val="Corpodetexto"/>
    <w:uiPriority w:val="99"/>
    <w:rsid w:val="00E0003F"/>
    <w:pPr>
      <w:numPr>
        <w:numId w:val="3"/>
      </w:numPr>
      <w:tabs>
        <w:tab w:val="clear" w:pos="284"/>
        <w:tab w:val="num" w:pos="360"/>
      </w:tabs>
      <w:spacing w:after="120"/>
      <w:ind w:left="0" w:firstLine="0"/>
    </w:pPr>
    <w:rPr>
      <w:sz w:val="24"/>
      <w:szCs w:val="24"/>
    </w:rPr>
  </w:style>
  <w:style w:type="paragraph" w:customStyle="1" w:styleId="Clusulas">
    <w:name w:val="Cláusulas"/>
    <w:basedOn w:val="Normal"/>
    <w:link w:val="ClusulasChar"/>
    <w:uiPriority w:val="99"/>
    <w:rsid w:val="00E0003F"/>
    <w:pPr>
      <w:spacing w:before="120" w:after="240"/>
      <w:jc w:val="both"/>
    </w:pPr>
    <w:rPr>
      <w:b/>
      <w:bCs/>
      <w:sz w:val="24"/>
      <w:szCs w:val="24"/>
    </w:rPr>
  </w:style>
  <w:style w:type="paragraph" w:customStyle="1" w:styleId="Pargrafomultinvel">
    <w:name w:val="Parágrafo multinível"/>
    <w:basedOn w:val="Normal"/>
    <w:rsid w:val="00E0003F"/>
    <w:pPr>
      <w:numPr>
        <w:numId w:val="2"/>
      </w:numPr>
      <w:spacing w:after="120"/>
      <w:jc w:val="both"/>
    </w:pPr>
    <w:rPr>
      <w:sz w:val="24"/>
      <w:szCs w:val="24"/>
    </w:rPr>
  </w:style>
  <w:style w:type="character" w:customStyle="1" w:styleId="PargrafoNormalChar">
    <w:name w:val="Parágrafo Normal Char"/>
    <w:link w:val="PargrafoNormal"/>
    <w:uiPriority w:val="99"/>
    <w:rsid w:val="00E0003F"/>
    <w:rPr>
      <w:sz w:val="24"/>
      <w:szCs w:val="24"/>
    </w:rPr>
  </w:style>
  <w:style w:type="character" w:customStyle="1" w:styleId="ClusulasChar">
    <w:name w:val="Cláusulas Char"/>
    <w:link w:val="Clusulas"/>
    <w:uiPriority w:val="99"/>
    <w:rsid w:val="00E0003F"/>
    <w:rPr>
      <w:b/>
      <w:bCs/>
      <w:sz w:val="24"/>
      <w:szCs w:val="24"/>
    </w:rPr>
  </w:style>
  <w:style w:type="paragraph" w:customStyle="1" w:styleId="corpo0">
    <w:name w:val="corpo"/>
    <w:basedOn w:val="Normal"/>
    <w:link w:val="corpoChar"/>
    <w:rsid w:val="00E0003F"/>
    <w:rPr>
      <w:rFonts w:eastAsia="Arial Unicode MS"/>
      <w:color w:val="0000FF"/>
      <w:lang w:val="pt-PT"/>
    </w:rPr>
  </w:style>
  <w:style w:type="character" w:customStyle="1" w:styleId="corpoChar">
    <w:name w:val="corpo Char"/>
    <w:link w:val="corpo0"/>
    <w:locked/>
    <w:rsid w:val="00E0003F"/>
    <w:rPr>
      <w:rFonts w:eastAsia="Arial Unicode MS"/>
      <w:color w:val="0000FF"/>
      <w:lang w:val="pt-PT"/>
    </w:rPr>
  </w:style>
  <w:style w:type="paragraph" w:styleId="PargrafodaLista">
    <w:name w:val="List Paragraph"/>
    <w:basedOn w:val="Normal"/>
    <w:qFormat/>
    <w:rsid w:val="00E0003F"/>
    <w:pPr>
      <w:ind w:left="708"/>
    </w:pPr>
  </w:style>
  <w:style w:type="character" w:customStyle="1" w:styleId="Ttulo2Char">
    <w:name w:val="Título 2 Char"/>
    <w:link w:val="Ttulo2"/>
    <w:semiHidden/>
    <w:rsid w:val="00727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727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rpodetexto1">
    <w:name w:val="Corpo de texto1"/>
    <w:basedOn w:val="Normal"/>
    <w:rsid w:val="00727F02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LetrascomRecuo">
    <w:name w:val="Letras com Recuo"/>
    <w:basedOn w:val="Normal"/>
    <w:link w:val="LetrascomRecuoChar"/>
    <w:rsid w:val="00727F02"/>
    <w:pPr>
      <w:numPr>
        <w:numId w:val="4"/>
      </w:numPr>
      <w:autoSpaceDE w:val="0"/>
      <w:autoSpaceDN w:val="0"/>
      <w:spacing w:after="120"/>
      <w:jc w:val="both"/>
    </w:pPr>
    <w:rPr>
      <w:sz w:val="24"/>
      <w:szCs w:val="24"/>
    </w:rPr>
  </w:style>
  <w:style w:type="paragraph" w:customStyle="1" w:styleId="SGQ-TextoNormal">
    <w:name w:val="SGQ-TextoNormal"/>
    <w:basedOn w:val="Normal"/>
    <w:rsid w:val="00727F02"/>
    <w:pPr>
      <w:spacing w:after="180"/>
      <w:jc w:val="both"/>
    </w:pPr>
    <w:rPr>
      <w:rFonts w:ascii="Verdana" w:eastAsia="Calibri" w:hAnsi="Verdana"/>
      <w:color w:val="000000"/>
      <w:sz w:val="18"/>
      <w:szCs w:val="18"/>
    </w:rPr>
  </w:style>
  <w:style w:type="character" w:customStyle="1" w:styleId="LetrascomRecuoChar">
    <w:name w:val="Letras com Recuo Char"/>
    <w:link w:val="LetrascomRecuo"/>
    <w:locked/>
    <w:rsid w:val="00727F0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9048B"/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3E0081"/>
    <w:pPr>
      <w:autoSpaceDE w:val="0"/>
      <w:autoSpaceDN w:val="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Edital-Nvel1">
    <w:name w:val="Edital - Nível 1"/>
    <w:basedOn w:val="Normal"/>
    <w:qFormat/>
    <w:rsid w:val="00B431BE"/>
    <w:pPr>
      <w:numPr>
        <w:numId w:val="5"/>
      </w:num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B431BE"/>
    <w:pPr>
      <w:numPr>
        <w:ilvl w:val="1"/>
        <w:numId w:val="5"/>
      </w:numPr>
      <w:jc w:val="both"/>
    </w:pPr>
    <w:rPr>
      <w:rFonts w:ascii="Arial Narrow" w:hAnsi="Arial Narrow"/>
      <w:sz w:val="22"/>
    </w:rPr>
  </w:style>
  <w:style w:type="paragraph" w:customStyle="1" w:styleId="Edital-Nvel3">
    <w:name w:val="Edital - Nível 3"/>
    <w:basedOn w:val="Edital-Nvel2"/>
    <w:qFormat/>
    <w:rsid w:val="00B431BE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B431BE"/>
    <w:pPr>
      <w:numPr>
        <w:ilvl w:val="3"/>
      </w:numPr>
      <w:tabs>
        <w:tab w:val="clear" w:pos="851"/>
        <w:tab w:val="num" w:pos="360"/>
        <w:tab w:val="num" w:pos="1134"/>
      </w:tabs>
      <w:ind w:left="360" w:hanging="360"/>
    </w:pPr>
  </w:style>
  <w:style w:type="paragraph" w:customStyle="1" w:styleId="Edital-Nvel5">
    <w:name w:val="Edital - Nível 5"/>
    <w:basedOn w:val="Edital-Nvel4"/>
    <w:next w:val="Normal"/>
    <w:qFormat/>
    <w:rsid w:val="00B431BE"/>
    <w:pPr>
      <w:numPr>
        <w:ilvl w:val="4"/>
      </w:numPr>
      <w:tabs>
        <w:tab w:val="clear" w:pos="1080"/>
        <w:tab w:val="clear" w:pos="1134"/>
        <w:tab w:val="num" w:pos="360"/>
      </w:tabs>
      <w:ind w:left="360" w:hanging="360"/>
    </w:pPr>
  </w:style>
  <w:style w:type="paragraph" w:customStyle="1" w:styleId="Tahoma20">
    <w:name w:val="Tahoma20"/>
    <w:basedOn w:val="Normal"/>
    <w:autoRedefine/>
    <w:rsid w:val="00B431BE"/>
    <w:pPr>
      <w:tabs>
        <w:tab w:val="left" w:pos="120"/>
      </w:tabs>
      <w:jc w:val="both"/>
    </w:pPr>
    <w:rPr>
      <w:rFonts w:ascii="Arial" w:hAnsi="Arial" w:cs="Arial"/>
      <w:iCs/>
      <w:sz w:val="22"/>
    </w:rPr>
  </w:style>
  <w:style w:type="paragraph" w:styleId="Textodebalo">
    <w:name w:val="Balloon Text"/>
    <w:basedOn w:val="Normal"/>
    <w:semiHidden/>
    <w:rsid w:val="00CF6B8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5245DA"/>
    <w:pPr>
      <w:ind w:left="708"/>
    </w:pPr>
  </w:style>
  <w:style w:type="paragraph" w:customStyle="1" w:styleId="Edital-Nvel6">
    <w:name w:val="Edital - Nível 6"/>
    <w:basedOn w:val="Edital-Nvel5"/>
    <w:qFormat/>
    <w:rsid w:val="005245DA"/>
    <w:pPr>
      <w:numPr>
        <w:ilvl w:val="0"/>
        <w:numId w:val="0"/>
      </w:numPr>
    </w:pPr>
    <w:rPr>
      <w:rFonts w:ascii="Arial" w:hAnsi="Arial"/>
    </w:rPr>
  </w:style>
  <w:style w:type="paragraph" w:customStyle="1" w:styleId="Edital-Nvel7">
    <w:name w:val="Edital - Nível 7"/>
    <w:basedOn w:val="Edital-Nvel6"/>
    <w:qFormat/>
    <w:rsid w:val="005245DA"/>
  </w:style>
  <w:style w:type="paragraph" w:customStyle="1" w:styleId="Edital-Nvel8">
    <w:name w:val="Edital - Nível 8"/>
    <w:basedOn w:val="Edital-Nvel7"/>
    <w:qFormat/>
    <w:rsid w:val="005245DA"/>
  </w:style>
  <w:style w:type="paragraph" w:customStyle="1" w:styleId="Edital-Nvel9">
    <w:name w:val="Edital - Nível 9"/>
    <w:basedOn w:val="Edital-Nvel8"/>
    <w:qFormat/>
    <w:rsid w:val="005245DA"/>
  </w:style>
  <w:style w:type="paragraph" w:customStyle="1" w:styleId="Edital-Semnmero">
    <w:name w:val="Edital - Sem número"/>
    <w:basedOn w:val="Normal"/>
    <w:next w:val="Normal"/>
    <w:uiPriority w:val="99"/>
    <w:rsid w:val="005245DA"/>
    <w:rPr>
      <w:rFonts w:ascii="Arial" w:eastAsia="Batang" w:hAnsi="Arial"/>
      <w:sz w:val="22"/>
    </w:rPr>
  </w:style>
  <w:style w:type="numbering" w:customStyle="1" w:styleId="Numeracaodosestilosedital">
    <w:name w:val="Numeracao dos estilos 'edital'"/>
    <w:uiPriority w:val="99"/>
    <w:rsid w:val="005245DA"/>
    <w:pPr>
      <w:numPr>
        <w:numId w:val="6"/>
      </w:numPr>
    </w:pPr>
  </w:style>
  <w:style w:type="character" w:styleId="nfase">
    <w:name w:val="Emphasis"/>
    <w:qFormat/>
    <w:rsid w:val="005245DA"/>
    <w:rPr>
      <w:i/>
      <w:iCs/>
    </w:rPr>
  </w:style>
  <w:style w:type="character" w:styleId="Forte">
    <w:name w:val="Strong"/>
    <w:uiPriority w:val="22"/>
    <w:qFormat/>
    <w:rsid w:val="006C064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rsid w:val="00881BC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81BC1"/>
  </w:style>
  <w:style w:type="character" w:styleId="Refdenotaderodap">
    <w:name w:val="footnote reference"/>
    <w:uiPriority w:val="99"/>
    <w:rsid w:val="00881BC1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B96905"/>
    <w:pPr>
      <w:ind w:left="708"/>
    </w:pPr>
  </w:style>
  <w:style w:type="paragraph" w:customStyle="1" w:styleId="Default">
    <w:name w:val="Default"/>
    <w:rsid w:val="00B969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uiPriority w:val="99"/>
    <w:rsid w:val="00A37486"/>
    <w:pPr>
      <w:widowControl w:val="0"/>
      <w:numPr>
        <w:numId w:val="8"/>
      </w:numPr>
    </w:pPr>
    <w:rPr>
      <w:rFonts w:ascii="Arial" w:hAnsi="Arial" w:cs="Arial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1627D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xtodecomentrio">
    <w:name w:val="annotation text"/>
    <w:basedOn w:val="Normal"/>
    <w:link w:val="TextodecomentrioChar"/>
    <w:rsid w:val="00CB03BC"/>
  </w:style>
  <w:style w:type="character" w:customStyle="1" w:styleId="TextodecomentrioChar">
    <w:name w:val="Texto de comentário Char"/>
    <w:basedOn w:val="Fontepargpadro"/>
    <w:link w:val="Textodecomentrio"/>
    <w:rsid w:val="00CB03BC"/>
  </w:style>
  <w:style w:type="character" w:customStyle="1" w:styleId="PGE-NotaExplicativaChar">
    <w:name w:val="PGE-NotaExplicativa Char"/>
    <w:link w:val="PGE-NotaExplicativa"/>
    <w:locked/>
    <w:rsid w:val="005F65D0"/>
    <w:rPr>
      <w:rFonts w:ascii="Consolas" w:eastAsia="Calibri" w:hAnsi="Consolas"/>
      <w:sz w:val="24"/>
      <w:shd w:val="clear" w:color="auto" w:fill="FFFF00"/>
    </w:rPr>
  </w:style>
  <w:style w:type="paragraph" w:customStyle="1" w:styleId="PGE-NotaExplicativa">
    <w:name w:val="PGE-NotaExplicativa"/>
    <w:basedOn w:val="Normal"/>
    <w:link w:val="PGE-NotaExplicativaChar"/>
    <w:qFormat/>
    <w:rsid w:val="005F65D0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eletronico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4CFF-4F77-4CAA-AD09-2B9E20CD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17</Pages>
  <Words>4815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31967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TALIS</dc:creator>
  <cp:keywords/>
  <cp:lastModifiedBy>Maria Helena Ferreira</cp:lastModifiedBy>
  <cp:revision>55</cp:revision>
  <cp:lastPrinted>2017-06-26T14:10:00Z</cp:lastPrinted>
  <dcterms:created xsi:type="dcterms:W3CDTF">2017-06-26T14:16:00Z</dcterms:created>
  <dcterms:modified xsi:type="dcterms:W3CDTF">2020-07-17T17:52:00Z</dcterms:modified>
</cp:coreProperties>
</file>